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sz w:val="24"/>
          <w:szCs w:val="24"/>
        </w:rPr>
      </w:pPr>
    </w:p>
    <w:p>
      <w:pPr>
        <w:pStyle w:val="16"/>
        <w:rPr>
          <w:rFonts w:ascii="Times New Roman" w:hAnsi="Times New Roman" w:cs="Times New Roman"/>
          <w:color w:val="558ED5" w:themeColor="text2" w:themeTint="99"/>
          <w:sz w:val="24"/>
          <w:szCs w:val="24"/>
          <w14:textFill>
            <w14:solidFill>
              <w14:schemeClr w14:val="tx2">
                <w14:lumMod w14:val="60000"/>
                <w14:lumOff w14:val="40000"/>
              </w14:schemeClr>
            </w14:solidFill>
          </w14:textFill>
        </w:rPr>
      </w:pPr>
    </w:p>
    <w:p>
      <w:pPr>
        <w:pStyle w:val="16"/>
        <w:rPr>
          <w:rFonts w:ascii="Times New Roman" w:hAnsi="Times New Roman" w:cs="Times New Roman"/>
          <w:color w:val="558ED5" w:themeColor="text2" w:themeTint="99"/>
          <w:sz w:val="24"/>
          <w:szCs w:val="24"/>
          <w14:textFill>
            <w14:solidFill>
              <w14:schemeClr w14:val="tx2">
                <w14:lumMod w14:val="60000"/>
                <w14:lumOff w14:val="40000"/>
              </w14:schemeClr>
            </w14:solidFill>
          </w14:textFill>
        </w:rPr>
      </w:pPr>
    </w:p>
    <w:p>
      <w:pPr>
        <w:pStyle w:val="16"/>
        <w:jc w:val="center"/>
        <w:rPr>
          <w:rFonts w:ascii="Times New Roman" w:hAnsi="Times New Roman" w:cs="Times New Roman"/>
          <w:color w:val="558ED5" w:themeColor="text2" w:themeTint="99"/>
          <w:sz w:val="24"/>
          <w:szCs w:val="24"/>
          <w:u w:color="FF2600"/>
          <w14:textFill>
            <w14:solidFill>
              <w14:schemeClr w14:val="tx2">
                <w14:lumMod w14:val="60000"/>
                <w14:lumOff w14:val="40000"/>
              </w14:schemeClr>
            </w14:solidFill>
          </w14:textFill>
        </w:rPr>
      </w:pPr>
    </w:p>
    <w:p>
      <w:pPr>
        <w:pStyle w:val="16"/>
        <w:jc w:val="center"/>
        <w:rPr>
          <w:rFonts w:ascii="Times New Roman" w:hAnsi="Times New Roman" w:cs="Times New Roman"/>
          <w:color w:val="558ED5" w:themeColor="text2" w:themeTint="99"/>
          <w:sz w:val="24"/>
          <w:szCs w:val="24"/>
          <w14:textFill>
            <w14:solidFill>
              <w14:schemeClr w14:val="tx2">
                <w14:lumMod w14:val="60000"/>
                <w14:lumOff w14:val="40000"/>
              </w14:schemeClr>
            </w14:solidFill>
          </w14:textFill>
        </w:rPr>
      </w:pPr>
    </w:p>
    <w:p>
      <w:pPr>
        <w:pStyle w:val="12"/>
        <w:jc w:val="center"/>
        <w:rPr>
          <w:color w:val="558ED5" w:themeColor="text2" w:themeTint="99"/>
          <w14:textFill>
            <w14:solidFill>
              <w14:schemeClr w14:val="tx2">
                <w14:lumMod w14:val="60000"/>
                <w14:lumOff w14:val="40000"/>
              </w14:schemeClr>
            </w14:solidFill>
          </w14:textFill>
        </w:rPr>
      </w:pPr>
      <w:r>
        <w:rPr>
          <w:color w:val="558ED5" w:themeColor="text2" w:themeTint="99"/>
          <w:lang w:val="en-GB"/>
          <w14:textFill>
            <w14:solidFill>
              <w14:schemeClr w14:val="tx2">
                <w14:lumMod w14:val="60000"/>
                <w14:lumOff w14:val="40000"/>
              </w14:schemeClr>
            </w14:solidFill>
          </w14:textFill>
        </w:rPr>
        <w:t>Market efficiency &amp; WACC</w:t>
      </w:r>
    </w:p>
    <w:p>
      <w:pPr>
        <w:pStyle w:val="12"/>
        <w:jc w:val="center"/>
        <w:rPr>
          <w:rFonts w:eastAsia="Arial"/>
          <w:color w:val="558ED5" w:themeColor="text2" w:themeTint="99"/>
          <w14:textFill>
            <w14:solidFill>
              <w14:schemeClr w14:val="tx2">
                <w14:lumMod w14:val="60000"/>
                <w14:lumOff w14:val="40000"/>
              </w14:schemeClr>
            </w14:solidFill>
          </w14:textFill>
        </w:rPr>
      </w:pPr>
      <w:bookmarkStart w:id="10" w:name="_GoBack"/>
      <w:bookmarkEnd w:id="10"/>
    </w:p>
    <w:p>
      <w:pPr>
        <w:pStyle w:val="12"/>
        <w:jc w:val="center"/>
        <w:rPr>
          <w:color w:val="558ED5" w:themeColor="text2" w:themeTint="99"/>
          <w14:textFill>
            <w14:solidFill>
              <w14:schemeClr w14:val="tx2">
                <w14:lumMod w14:val="60000"/>
                <w14:lumOff w14:val="40000"/>
              </w14:schemeClr>
            </w14:solidFill>
          </w14:textFill>
        </w:rPr>
      </w:pPr>
      <w:r>
        <w:rPr>
          <w:color w:val="558ED5" w:themeColor="text2" w:themeTint="99"/>
          <w14:textFill>
            <w14:solidFill>
              <w14:schemeClr w14:val="tx2">
                <w14:lumMod w14:val="60000"/>
                <w14:lumOff w14:val="40000"/>
              </w14:schemeClr>
            </w14:solidFill>
          </w14:textFill>
        </w:rPr>
        <w:t>Efficiency of the London Stock exchange market</w:t>
      </w:r>
    </w:p>
    <w:p>
      <w:pPr>
        <w:pStyle w:val="12"/>
        <w:jc w:val="center"/>
        <w:rPr>
          <w:rFonts w:eastAsia="Arial"/>
          <w:color w:val="558ED5" w:themeColor="text2" w:themeTint="99"/>
          <w14:textFill>
            <w14:solidFill>
              <w14:schemeClr w14:val="tx2">
                <w14:lumMod w14:val="60000"/>
                <w14:lumOff w14:val="40000"/>
              </w14:schemeClr>
            </w14:solidFill>
          </w14:textFill>
        </w:rPr>
      </w:pPr>
    </w:p>
    <w:p>
      <w:pPr>
        <w:pStyle w:val="12"/>
        <w:jc w:val="center"/>
        <w:rPr>
          <w:rFonts w:eastAsia="Arial"/>
          <w:color w:val="558ED5" w:themeColor="text2" w:themeTint="99"/>
          <w14:textFill>
            <w14:solidFill>
              <w14:schemeClr w14:val="tx2">
                <w14:lumMod w14:val="60000"/>
                <w14:lumOff w14:val="40000"/>
              </w14:schemeClr>
            </w14:solidFill>
          </w14:textFill>
        </w:rPr>
      </w:pPr>
      <w:r>
        <w:rPr>
          <w:color w:val="558ED5" w:themeColor="text2" w:themeTint="99"/>
          <w14:textFill>
            <w14:solidFill>
              <w14:schemeClr w14:val="tx2">
                <w14:lumMod w14:val="60000"/>
                <w14:lumOff w14:val="40000"/>
              </w14:schemeClr>
            </w14:solidFill>
          </w14:textFill>
        </w:rPr>
        <w:t>Level 5</w:t>
      </w:r>
    </w:p>
    <w:p>
      <w:pPr>
        <w:pStyle w:val="12"/>
        <w:jc w:val="center"/>
        <w:rPr>
          <w:rFonts w:eastAsia="Arial"/>
          <w:color w:val="558ED5" w:themeColor="text2" w:themeTint="99"/>
          <w14:textFill>
            <w14:solidFill>
              <w14:schemeClr w14:val="tx2">
                <w14:lumMod w14:val="60000"/>
                <w14:lumOff w14:val="40000"/>
              </w14:schemeClr>
            </w14:solidFill>
          </w14:textFill>
        </w:rPr>
      </w:pPr>
    </w:p>
    <w:p>
      <w:pPr>
        <w:pStyle w:val="12"/>
        <w:jc w:val="center"/>
        <w:rPr>
          <w:rFonts w:eastAsia="Arial"/>
        </w:rPr>
      </w:pPr>
    </w:p>
    <w:p>
      <w:pPr>
        <w:pStyle w:val="12"/>
        <w:jc w:val="center"/>
        <w:rPr>
          <w:rFonts w:eastAsia="Arial"/>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sdt>
      <w:sdtPr>
        <w:id w:val="-1162620658"/>
        <w:docPartObj>
          <w:docPartGallery w:val="Table of Contents"/>
          <w:docPartUnique/>
        </w:docPartObj>
      </w:sdtPr>
      <w:sdtEndPr>
        <w:rPr>
          <w:rFonts w:ascii="Times New Roman" w:hAnsi="Times New Roman" w:eastAsia="Arial Unicode MS" w:cs="Times New Roman"/>
          <w:b/>
          <w:bCs/>
          <w:color w:val="auto"/>
          <w:sz w:val="24"/>
          <w:szCs w:val="24"/>
        </w:rPr>
      </w:sdtEndPr>
      <w:sdtContent>
        <w:p>
          <w:pPr>
            <w:pStyle w:val="27"/>
            <w:jc w:val="center"/>
          </w:pPr>
          <w:r>
            <w:t>Table of Contents</w:t>
          </w:r>
        </w:p>
        <w:p>
          <w:pPr>
            <w:pStyle w:val="13"/>
            <w:tabs>
              <w:tab w:val="right" w:leader="dot" w:pos="9016"/>
            </w:tabs>
            <w:rPr>
              <w:rFonts w:asciiTheme="minorHAnsi" w:hAnsiTheme="minorHAnsi" w:eastAsiaTheme="minorEastAsia" w:cstheme="minorBidi"/>
              <w:sz w:val="22"/>
              <w:szCs w:val="22"/>
            </w:rPr>
          </w:pPr>
          <w:r>
            <w:fldChar w:fldCharType="begin"/>
          </w:r>
          <w:r>
            <w:instrText xml:space="preserve"> TOC \o "1-3" \h \z \u </w:instrText>
          </w:r>
          <w:r>
            <w:fldChar w:fldCharType="separate"/>
          </w:r>
          <w:r>
            <w:rPr>
              <w:rStyle w:val="10"/>
            </w:rPr>
            <w:fldChar w:fldCharType="begin"/>
          </w:r>
          <w:r>
            <w:rPr>
              <w:rStyle w:val="10"/>
            </w:rPr>
            <w:instrText xml:space="preserve"> </w:instrText>
          </w:r>
          <w:r>
            <w:instrText xml:space="preserve">HYPERLINK \l "_Toc531623933"</w:instrText>
          </w:r>
          <w:r>
            <w:rPr>
              <w:rStyle w:val="10"/>
            </w:rPr>
            <w:instrText xml:space="preserve"> </w:instrText>
          </w:r>
          <w:r>
            <w:rPr>
              <w:rStyle w:val="10"/>
            </w:rPr>
            <w:fldChar w:fldCharType="separate"/>
          </w:r>
          <w:r>
            <w:rPr>
              <w:rStyle w:val="10"/>
              <w:rFonts w:eastAsia="Arial"/>
            </w:rPr>
            <w:t>INTRODUCTION</w:t>
          </w:r>
          <w:r>
            <w:tab/>
          </w:r>
          <w:r>
            <w:fldChar w:fldCharType="begin"/>
          </w:r>
          <w:r>
            <w:instrText xml:space="preserve"> PAGEREF _Toc531623933 \h </w:instrText>
          </w:r>
          <w:r>
            <w:fldChar w:fldCharType="separate"/>
          </w:r>
          <w:r>
            <w:t>3</w:t>
          </w:r>
          <w:r>
            <w:fldChar w:fldCharType="end"/>
          </w:r>
          <w:r>
            <w:rPr>
              <w:rStyle w:val="10"/>
            </w:rPr>
            <w:fldChar w:fldCharType="end"/>
          </w:r>
        </w:p>
        <w:p>
          <w:pPr>
            <w:pStyle w:val="14"/>
            <w:tabs>
              <w:tab w:val="right" w:leader="dot" w:pos="9016"/>
            </w:tabs>
            <w:rPr>
              <w:rFonts w:asciiTheme="minorHAnsi" w:hAnsiTheme="minorHAnsi" w:eastAsiaTheme="minorEastAsia" w:cstheme="minorBidi"/>
              <w:sz w:val="22"/>
              <w:szCs w:val="22"/>
            </w:rPr>
          </w:pPr>
          <w:r>
            <w:fldChar w:fldCharType="begin"/>
          </w:r>
          <w:r>
            <w:instrText xml:space="preserve"> HYPERLINK \l "_Toc531623934" </w:instrText>
          </w:r>
          <w:r>
            <w:fldChar w:fldCharType="separate"/>
          </w:r>
          <w:r>
            <w:rPr>
              <w:rStyle w:val="10"/>
            </w:rPr>
            <w:t>THE LONDON STOCK EXCHANGE</w:t>
          </w:r>
          <w:r>
            <w:tab/>
          </w:r>
          <w:r>
            <w:fldChar w:fldCharType="begin"/>
          </w:r>
          <w:r>
            <w:instrText xml:space="preserve"> PAGEREF _Toc531623934 \h </w:instrText>
          </w:r>
          <w:r>
            <w:fldChar w:fldCharType="separate"/>
          </w:r>
          <w:r>
            <w:t>3</w:t>
          </w:r>
          <w:r>
            <w:fldChar w:fldCharType="end"/>
          </w:r>
          <w:r>
            <w:fldChar w:fldCharType="end"/>
          </w:r>
        </w:p>
        <w:p>
          <w:pPr>
            <w:pStyle w:val="15"/>
            <w:tabs>
              <w:tab w:val="right" w:leader="dot" w:pos="9016"/>
            </w:tabs>
            <w:rPr>
              <w:rFonts w:asciiTheme="minorHAnsi" w:hAnsiTheme="minorHAnsi" w:eastAsiaTheme="minorEastAsia" w:cstheme="minorBidi"/>
              <w:sz w:val="22"/>
              <w:szCs w:val="22"/>
            </w:rPr>
          </w:pPr>
          <w:r>
            <w:fldChar w:fldCharType="begin"/>
          </w:r>
          <w:r>
            <w:instrText xml:space="preserve"> HYPERLINK \l "_Toc531623935" </w:instrText>
          </w:r>
          <w:r>
            <w:fldChar w:fldCharType="separate"/>
          </w:r>
          <w:r>
            <w:rPr>
              <w:rStyle w:val="10"/>
            </w:rPr>
            <w:t>Dependence on successive price changes as a weak efficient market indicator</w:t>
          </w:r>
          <w:r>
            <w:tab/>
          </w:r>
          <w:r>
            <w:fldChar w:fldCharType="begin"/>
          </w:r>
          <w:r>
            <w:instrText xml:space="preserve"> PAGEREF _Toc531623935 \h </w:instrText>
          </w:r>
          <w:r>
            <w:fldChar w:fldCharType="separate"/>
          </w:r>
          <w:r>
            <w:t>3</w:t>
          </w:r>
          <w:r>
            <w:fldChar w:fldCharType="end"/>
          </w:r>
          <w:r>
            <w:fldChar w:fldCharType="end"/>
          </w:r>
        </w:p>
        <w:p>
          <w:pPr>
            <w:pStyle w:val="15"/>
            <w:tabs>
              <w:tab w:val="right" w:leader="dot" w:pos="9016"/>
            </w:tabs>
            <w:rPr>
              <w:rFonts w:asciiTheme="minorHAnsi" w:hAnsiTheme="minorHAnsi" w:eastAsiaTheme="minorEastAsia" w:cstheme="minorBidi"/>
              <w:sz w:val="22"/>
              <w:szCs w:val="22"/>
            </w:rPr>
          </w:pPr>
          <w:r>
            <w:fldChar w:fldCharType="begin"/>
          </w:r>
          <w:r>
            <w:instrText xml:space="preserve"> HYPERLINK \l "_Toc531623936" </w:instrText>
          </w:r>
          <w:r>
            <w:fldChar w:fldCharType="separate"/>
          </w:r>
          <w:r>
            <w:rPr>
              <w:rStyle w:val="10"/>
            </w:rPr>
            <w:t>Information incorporation into stock market prices as an efficient market indicator</w:t>
          </w:r>
          <w:r>
            <w:tab/>
          </w:r>
          <w:r>
            <w:fldChar w:fldCharType="begin"/>
          </w:r>
          <w:r>
            <w:instrText xml:space="preserve"> PAGEREF _Toc531623936 \h </w:instrText>
          </w:r>
          <w:r>
            <w:fldChar w:fldCharType="separate"/>
          </w:r>
          <w:r>
            <w:t>3</w:t>
          </w:r>
          <w:r>
            <w:fldChar w:fldCharType="end"/>
          </w:r>
          <w:r>
            <w:fldChar w:fldCharType="end"/>
          </w:r>
        </w:p>
        <w:p>
          <w:pPr>
            <w:pStyle w:val="15"/>
            <w:tabs>
              <w:tab w:val="right" w:leader="dot" w:pos="9016"/>
            </w:tabs>
            <w:rPr>
              <w:rFonts w:asciiTheme="minorHAnsi" w:hAnsiTheme="minorHAnsi" w:eastAsiaTheme="minorEastAsia" w:cstheme="minorBidi"/>
              <w:sz w:val="22"/>
              <w:szCs w:val="22"/>
            </w:rPr>
          </w:pPr>
          <w:r>
            <w:fldChar w:fldCharType="begin"/>
          </w:r>
          <w:r>
            <w:instrText xml:space="preserve"> HYPERLINK \l "_Toc531623937" </w:instrText>
          </w:r>
          <w:r>
            <w:fldChar w:fldCharType="separate"/>
          </w:r>
          <w:r>
            <w:rPr>
              <w:rStyle w:val="10"/>
              <w:rFonts w:eastAsia="Arial"/>
            </w:rPr>
            <w:t>The London Stock exchange as an efficient market as per insider trading information 2018</w:t>
          </w:r>
          <w:r>
            <w:tab/>
          </w:r>
          <w:r>
            <w:fldChar w:fldCharType="begin"/>
          </w:r>
          <w:r>
            <w:instrText xml:space="preserve"> PAGEREF _Toc531623937 \h </w:instrText>
          </w:r>
          <w:r>
            <w:fldChar w:fldCharType="separate"/>
          </w:r>
          <w:r>
            <w:t>3</w:t>
          </w:r>
          <w:r>
            <w:fldChar w:fldCharType="end"/>
          </w:r>
          <w:r>
            <w:fldChar w:fldCharType="end"/>
          </w:r>
        </w:p>
        <w:p>
          <w:pPr>
            <w:pStyle w:val="14"/>
            <w:tabs>
              <w:tab w:val="right" w:leader="dot" w:pos="9016"/>
            </w:tabs>
            <w:rPr>
              <w:rFonts w:asciiTheme="minorHAnsi" w:hAnsiTheme="minorHAnsi" w:eastAsiaTheme="minorEastAsia" w:cstheme="minorBidi"/>
              <w:sz w:val="22"/>
              <w:szCs w:val="22"/>
            </w:rPr>
          </w:pPr>
          <w:r>
            <w:fldChar w:fldCharType="begin"/>
          </w:r>
          <w:r>
            <w:instrText xml:space="preserve"> HYPERLINK \l "_Toc531623938" </w:instrText>
          </w:r>
          <w:r>
            <w:fldChar w:fldCharType="separate"/>
          </w:r>
          <w:r>
            <w:rPr>
              <w:rStyle w:val="10"/>
            </w:rPr>
            <w:t>Conclusion</w:t>
          </w:r>
          <w:r>
            <w:tab/>
          </w:r>
          <w:r>
            <w:fldChar w:fldCharType="begin"/>
          </w:r>
          <w:r>
            <w:instrText xml:space="preserve"> PAGEREF _Toc531623938 \h </w:instrText>
          </w:r>
          <w:r>
            <w:fldChar w:fldCharType="separate"/>
          </w:r>
          <w:r>
            <w:t>4</w:t>
          </w:r>
          <w:r>
            <w:fldChar w:fldCharType="end"/>
          </w:r>
          <w:r>
            <w:fldChar w:fldCharType="end"/>
          </w:r>
        </w:p>
        <w:p>
          <w:pPr>
            <w:pStyle w:val="13"/>
            <w:tabs>
              <w:tab w:val="right" w:leader="dot" w:pos="9016"/>
            </w:tabs>
            <w:rPr>
              <w:rFonts w:asciiTheme="minorHAnsi" w:hAnsiTheme="minorHAnsi" w:eastAsiaTheme="minorEastAsia" w:cstheme="minorBidi"/>
              <w:sz w:val="22"/>
              <w:szCs w:val="22"/>
            </w:rPr>
          </w:pPr>
          <w:r>
            <w:fldChar w:fldCharType="begin"/>
          </w:r>
          <w:r>
            <w:instrText xml:space="preserve"> HYPERLINK \l "_Toc531623939" </w:instrText>
          </w:r>
          <w:r>
            <w:fldChar w:fldCharType="separate"/>
          </w:r>
          <w:r>
            <w:rPr>
              <w:rStyle w:val="10"/>
            </w:rPr>
            <w:t>Weighted average cost of capital AstraZeneca 2018</w:t>
          </w:r>
          <w:r>
            <w:tab/>
          </w:r>
          <w:r>
            <w:fldChar w:fldCharType="begin"/>
          </w:r>
          <w:r>
            <w:instrText xml:space="preserve"> PAGEREF _Toc531623939 \h </w:instrText>
          </w:r>
          <w:r>
            <w:fldChar w:fldCharType="separate"/>
          </w:r>
          <w:r>
            <w:t>4</w:t>
          </w:r>
          <w:r>
            <w:fldChar w:fldCharType="end"/>
          </w:r>
          <w:r>
            <w:fldChar w:fldCharType="end"/>
          </w:r>
        </w:p>
        <w:p>
          <w:pPr>
            <w:pStyle w:val="14"/>
            <w:tabs>
              <w:tab w:val="right" w:leader="dot" w:pos="9016"/>
            </w:tabs>
            <w:rPr>
              <w:rFonts w:asciiTheme="minorHAnsi" w:hAnsiTheme="minorHAnsi" w:eastAsiaTheme="minorEastAsia" w:cstheme="minorBidi"/>
              <w:sz w:val="22"/>
              <w:szCs w:val="22"/>
            </w:rPr>
          </w:pPr>
          <w:r>
            <w:fldChar w:fldCharType="begin"/>
          </w:r>
          <w:r>
            <w:instrText xml:space="preserve"> HYPERLINK \l "_Toc531623940" </w:instrText>
          </w:r>
          <w:r>
            <w:fldChar w:fldCharType="separate"/>
          </w:r>
          <w:r>
            <w:rPr>
              <w:rStyle w:val="10"/>
            </w:rPr>
            <w:t>Financial calculations results</w:t>
          </w:r>
          <w:r>
            <w:tab/>
          </w:r>
          <w:r>
            <w:fldChar w:fldCharType="begin"/>
          </w:r>
          <w:r>
            <w:instrText xml:space="preserve"> PAGEREF _Toc531623940 \h </w:instrText>
          </w:r>
          <w:r>
            <w:fldChar w:fldCharType="separate"/>
          </w:r>
          <w:r>
            <w:t>5</w:t>
          </w:r>
          <w:r>
            <w:fldChar w:fldCharType="end"/>
          </w:r>
          <w:r>
            <w:fldChar w:fldCharType="end"/>
          </w:r>
        </w:p>
        <w:p>
          <w:pPr>
            <w:pStyle w:val="14"/>
            <w:tabs>
              <w:tab w:val="right" w:leader="dot" w:pos="9016"/>
            </w:tabs>
            <w:rPr>
              <w:rFonts w:asciiTheme="minorHAnsi" w:hAnsiTheme="minorHAnsi" w:eastAsiaTheme="minorEastAsia" w:cstheme="minorBidi"/>
              <w:sz w:val="22"/>
              <w:szCs w:val="22"/>
            </w:rPr>
          </w:pPr>
          <w:r>
            <w:fldChar w:fldCharType="begin"/>
          </w:r>
          <w:r>
            <w:instrText xml:space="preserve"> HYPERLINK \l "_Toc531623941" </w:instrText>
          </w:r>
          <w:r>
            <w:fldChar w:fldCharType="separate"/>
          </w:r>
          <w:r>
            <w:rPr>
              <w:rStyle w:val="10"/>
            </w:rPr>
            <w:t>Conclusion</w:t>
          </w:r>
          <w:r>
            <w:tab/>
          </w:r>
          <w:r>
            <w:fldChar w:fldCharType="begin"/>
          </w:r>
          <w:r>
            <w:instrText xml:space="preserve"> PAGEREF _Toc531623941 \h </w:instrText>
          </w:r>
          <w:r>
            <w:fldChar w:fldCharType="separate"/>
          </w:r>
          <w:r>
            <w:t>6</w:t>
          </w:r>
          <w:r>
            <w:fldChar w:fldCharType="end"/>
          </w:r>
          <w:r>
            <w:fldChar w:fldCharType="end"/>
          </w:r>
        </w:p>
        <w:p>
          <w:pPr>
            <w:pStyle w:val="14"/>
            <w:tabs>
              <w:tab w:val="right" w:leader="dot" w:pos="9016"/>
            </w:tabs>
            <w:rPr>
              <w:rFonts w:asciiTheme="minorHAnsi" w:hAnsiTheme="minorHAnsi" w:eastAsiaTheme="minorEastAsia" w:cstheme="minorBidi"/>
              <w:sz w:val="22"/>
              <w:szCs w:val="22"/>
            </w:rPr>
          </w:pPr>
          <w:r>
            <w:fldChar w:fldCharType="begin"/>
          </w:r>
          <w:r>
            <w:instrText xml:space="preserve"> HYPERLINK \l "_Toc531623942" </w:instrText>
          </w:r>
          <w:r>
            <w:fldChar w:fldCharType="separate"/>
          </w:r>
          <w:r>
            <w:rPr>
              <w:rStyle w:val="10"/>
            </w:rPr>
            <w:t>References</w:t>
          </w:r>
          <w:r>
            <w:tab/>
          </w:r>
          <w:r>
            <w:fldChar w:fldCharType="begin"/>
          </w:r>
          <w:r>
            <w:instrText xml:space="preserve"> PAGEREF _Toc531623942 \h </w:instrText>
          </w:r>
          <w:r>
            <w:fldChar w:fldCharType="separate"/>
          </w:r>
          <w:r>
            <w:t>6</w:t>
          </w:r>
          <w:r>
            <w:fldChar w:fldCharType="end"/>
          </w:r>
          <w:r>
            <w:fldChar w:fldCharType="end"/>
          </w:r>
        </w:p>
        <w:p>
          <w:r>
            <w:rPr>
              <w:b/>
              <w:bCs/>
            </w:rPr>
            <w:fldChar w:fldCharType="end"/>
          </w:r>
        </w:p>
      </w:sdtContent>
    </w:sdt>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16"/>
        <w:rPr>
          <w:rFonts w:ascii="Times New Roman" w:hAnsi="Times New Roman" w:eastAsia="Arial" w:cs="Times New Roman"/>
          <w:sz w:val="24"/>
          <w:szCs w:val="24"/>
        </w:rPr>
      </w:pPr>
    </w:p>
    <w:p>
      <w:pPr>
        <w:pStyle w:val="2"/>
        <w:spacing w:before="0" w:after="100" w:afterAutospacing="1" w:line="360" w:lineRule="auto"/>
        <w:jc w:val="center"/>
        <w:rPr>
          <w:rFonts w:ascii="Times New Roman" w:hAnsi="Times New Roman" w:eastAsia="Arial" w:cs="Times New Roman"/>
          <w:sz w:val="24"/>
          <w:szCs w:val="24"/>
        </w:rPr>
      </w:pPr>
      <w:bookmarkStart w:id="0" w:name="_Toc531623933"/>
      <w:r>
        <w:rPr>
          <w:rFonts w:ascii="Times New Roman" w:hAnsi="Times New Roman" w:eastAsia="Arial" w:cs="Times New Roman"/>
          <w:sz w:val="24"/>
          <w:szCs w:val="24"/>
        </w:rPr>
        <w:t>INTRODUCTION</w:t>
      </w:r>
      <w:bookmarkEnd w:id="0"/>
    </w:p>
    <w:p>
      <w:pPr>
        <w:spacing w:after="100" w:afterAutospacing="1" w:line="360" w:lineRule="auto"/>
        <w:jc w:val="both"/>
      </w:pPr>
      <w:r>
        <w:t>An efficient capital market is one in which it is not possible to earn a higher return on assets (shares, bonds, treasury bills, options, etc.) invested in than the market return Allen, Brealey and Myers (2011). In an efficient market all available information on assets is incorporated into the stocks and the investors cannot earn a risk-weighted return. In strongly efficient markets, current prices of stocks reflect all information which does not have to be publicly available. In strongly efficient markets relying on insider information to make profits on trading is not possible.</w:t>
      </w:r>
    </w:p>
    <w:p>
      <w:pPr>
        <w:pStyle w:val="3"/>
        <w:spacing w:before="0" w:after="100" w:afterAutospacing="1" w:line="360" w:lineRule="auto"/>
        <w:jc w:val="center"/>
        <w:rPr>
          <w:rFonts w:ascii="Times New Roman" w:hAnsi="Times New Roman" w:cs="Times New Roman"/>
          <w:sz w:val="24"/>
          <w:szCs w:val="24"/>
        </w:rPr>
      </w:pPr>
      <w:bookmarkStart w:id="1" w:name="_Toc531623934"/>
      <w:r>
        <w:rPr>
          <w:rFonts w:ascii="Times New Roman" w:hAnsi="Times New Roman" w:cs="Times New Roman"/>
          <w:sz w:val="24"/>
          <w:szCs w:val="24"/>
        </w:rPr>
        <w:t>THE LONDON STOCK EXCHANGE</w:t>
      </w:r>
      <w:bookmarkEnd w:id="1"/>
    </w:p>
    <w:p>
      <w:pPr>
        <w:pStyle w:val="4"/>
        <w:spacing w:before="0" w:after="100" w:afterAutospacing="1" w:line="360" w:lineRule="auto"/>
        <w:rPr>
          <w:rFonts w:ascii="Times New Roman" w:hAnsi="Times New Roman" w:cs="Times New Roman"/>
          <w:color w:val="1F497D" w:themeColor="text2"/>
          <w14:textFill>
            <w14:solidFill>
              <w14:schemeClr w14:val="tx2"/>
            </w14:solidFill>
          </w14:textFill>
        </w:rPr>
      </w:pPr>
      <w:bookmarkStart w:id="2" w:name="_Toc531623935"/>
      <w:r>
        <w:rPr>
          <w:rFonts w:ascii="Times New Roman" w:hAnsi="Times New Roman" w:cs="Times New Roman"/>
          <w:color w:val="1F497D" w:themeColor="text2"/>
          <w14:textFill>
            <w14:solidFill>
              <w14:schemeClr w14:val="tx2"/>
            </w14:solidFill>
          </w14:textFill>
        </w:rPr>
        <w:t>Dependence on successive price changes as a weak efficient market indicator</w:t>
      </w:r>
      <w:bookmarkEnd w:id="2"/>
    </w:p>
    <w:p>
      <w:pPr>
        <w:pStyle w:val="16"/>
        <w:spacing w:after="100" w:afterAutospacing="1" w:line="360" w:lineRule="auto"/>
        <w:jc w:val="both"/>
        <w:rPr>
          <w:rFonts w:ascii="Times New Roman" w:hAnsi="Times New Roman" w:eastAsia="Arial" w:cs="Times New Roman"/>
          <w:sz w:val="24"/>
          <w:szCs w:val="24"/>
        </w:rPr>
      </w:pPr>
      <w:r>
        <w:rPr>
          <w:rFonts w:ascii="Times New Roman" w:hAnsi="Times New Roman" w:cs="Times New Roman"/>
          <w:sz w:val="24"/>
          <w:szCs w:val="24"/>
          <w:shd w:val="clear" w:color="auto" w:fill="FFFFFF"/>
        </w:rPr>
        <w:t>(Libberton, 2010)</w:t>
      </w:r>
      <w:r>
        <w:rPr>
          <w:rFonts w:ascii="Times New Roman" w:hAnsi="Times New Roman" w:eastAsia="Arial" w:cs="Times New Roman"/>
          <w:sz w:val="24"/>
          <w:szCs w:val="24"/>
        </w:rPr>
        <w:t xml:space="preserve">  in their quantitative empirical research study prove that the London stock exchange (LSE) is not weak for efficient based on their criteria analysis that the correlation tests that were conducted revealed that there was little evidence to suggest dependence in successive price changes of the shares listed on the LSE and the FTSE 100 itself.</w:t>
      </w:r>
    </w:p>
    <w:p>
      <w:pPr>
        <w:pStyle w:val="4"/>
        <w:spacing w:before="0" w:after="100" w:afterAutospacing="1" w:line="360" w:lineRule="auto"/>
        <w:rPr>
          <w:rFonts w:ascii="Times New Roman" w:hAnsi="Times New Roman" w:cs="Times New Roman"/>
          <w:color w:val="1F497D" w:themeColor="text2"/>
          <w14:textFill>
            <w14:solidFill>
              <w14:schemeClr w14:val="tx2"/>
            </w14:solidFill>
          </w14:textFill>
        </w:rPr>
      </w:pPr>
      <w:bookmarkStart w:id="3" w:name="_Toc531623936"/>
      <w:r>
        <w:rPr>
          <w:rFonts w:ascii="Times New Roman" w:hAnsi="Times New Roman" w:cs="Times New Roman"/>
          <w:color w:val="1F497D" w:themeColor="text2"/>
          <w14:textFill>
            <w14:solidFill>
              <w14:schemeClr w14:val="tx2"/>
            </w14:solidFill>
          </w14:textFill>
        </w:rPr>
        <w:t>Information incorporation into stock market prices as an efficient market indicator</w:t>
      </w:r>
      <w:bookmarkEnd w:id="3"/>
    </w:p>
    <w:p>
      <w:pPr>
        <w:pStyle w:val="16"/>
        <w:spacing w:after="100" w:afterAutospacing="1"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The stocks market prices indexed in the London stock exchange incorporate all information relevant for their pricing.</w:t>
      </w:r>
    </w:p>
    <w:p>
      <w:pPr>
        <w:pStyle w:val="16"/>
        <w:spacing w:after="100" w:afterAutospacing="1"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(Campbell et al., 2017) in their study show that both insider information and market trends influenced the movements in stock prices in earlier years trading at the London stock exchange.</w:t>
      </w:r>
    </w:p>
    <w:p>
      <w:pPr>
        <w:pStyle w:val="16"/>
        <w:spacing w:after="100" w:afterAutospacing="1"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(Friederich and Payne, 2002) show that there exists a relationship between information on a stock and its price which influences the decisions made by a risk averse trader by extending the efficient markets models.</w:t>
      </w:r>
    </w:p>
    <w:p>
      <w:pPr>
        <w:pStyle w:val="4"/>
        <w:rPr>
          <w:rFonts w:ascii="Times New Roman" w:hAnsi="Times New Roman" w:eastAsia="Arial" w:cs="Times New Roman"/>
          <w:color w:val="1F497D" w:themeColor="text2"/>
          <w14:textFill>
            <w14:solidFill>
              <w14:schemeClr w14:val="tx2"/>
            </w14:solidFill>
          </w14:textFill>
        </w:rPr>
      </w:pPr>
      <w:bookmarkStart w:id="4" w:name="_Toc531623937"/>
      <w:r>
        <w:rPr>
          <w:rFonts w:ascii="Times New Roman" w:hAnsi="Times New Roman" w:eastAsia="Arial" w:cs="Times New Roman"/>
          <w:color w:val="1F497D" w:themeColor="text2"/>
          <w14:textFill>
            <w14:solidFill>
              <w14:schemeClr w14:val="tx2"/>
            </w14:solidFill>
          </w14:textFill>
        </w:rPr>
        <w:t>The London Stock exchange as an efficient market as per insider trading information 2018</w:t>
      </w:r>
      <w:bookmarkEnd w:id="4"/>
    </w:p>
    <w:p>
      <w:pPr>
        <w:pStyle w:val="16"/>
        <w:spacing w:after="100" w:afterAutospacing="1" w:line="360" w:lineRule="auto"/>
        <w:jc w:val="both"/>
        <w:rPr>
          <w:rFonts w:ascii="Times New Roman" w:hAnsi="Times New Roman" w:eastAsia="Arial" w:cs="Times New Roman"/>
          <w:sz w:val="24"/>
          <w:szCs w:val="24"/>
        </w:rPr>
      </w:pPr>
    </w:p>
    <w:p>
      <w:pPr>
        <w:pStyle w:val="16"/>
        <w:spacing w:after="100" w:afterAutospacing="1"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(Danilova, 2010) investigates and concludes that there exists an equilibrium between dynamic private information of the insider and minimal restrictions on the admissible trading strategies.  The insider buys the stock when its fundamental is overestimated by the market rather than the stock price.</w:t>
      </w:r>
    </w:p>
    <w:p>
      <w:pPr>
        <w:pStyle w:val="16"/>
        <w:spacing w:after="100" w:afterAutospacing="1" w:line="360" w:lineRule="auto"/>
        <w:jc w:val="both"/>
        <w:rPr>
          <w:rFonts w:ascii="Times New Roman" w:hAnsi="Times New Roman" w:eastAsia="Arial" w:cs="Times New Roman"/>
          <w:sz w:val="24"/>
          <w:szCs w:val="24"/>
        </w:rPr>
      </w:pPr>
      <w:r>
        <w:rPr>
          <w:rFonts w:ascii="Times New Roman" w:hAnsi="Times New Roman" w:cs="Times New Roman"/>
          <w:sz w:val="24"/>
          <w:szCs w:val="24"/>
          <w:shd w:val="clear" w:color="auto" w:fill="FFFFFF"/>
        </w:rPr>
        <w:t>(Moore and Braggion, 2010)</w:t>
      </w:r>
      <w:r>
        <w:rPr>
          <w:rFonts w:ascii="Times New Roman" w:hAnsi="Times New Roman" w:eastAsia="Arial" w:cs="Times New Roman"/>
          <w:sz w:val="24"/>
          <w:szCs w:val="24"/>
        </w:rPr>
        <w:t xml:space="preserve"> support asymmetric information theories on dividend policy to have an impact on their studies of dividend policy in 469 British firms in the London stock exchange over agency theories.</w:t>
      </w:r>
    </w:p>
    <w:p>
      <w:pPr>
        <w:pStyle w:val="16"/>
        <w:spacing w:after="100" w:afterAutospacing="1" w:line="360"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It is not possible to use insider information to gain profit in trading by stock brokers and traders in the London stock exchange. </w:t>
      </w:r>
      <w:r>
        <w:rPr>
          <w:rFonts w:ascii="Times New Roman" w:hAnsi="Times New Roman" w:cs="Times New Roman"/>
          <w:sz w:val="24"/>
          <w:szCs w:val="24"/>
          <w:shd w:val="clear" w:color="auto" w:fill="FFFFFF"/>
        </w:rPr>
        <w:t>(Kyriacou, Luintel and Mase, 2009) mention that there exists insider trading in the UK and the London stock exchange.</w:t>
      </w:r>
    </w:p>
    <w:p>
      <w:pPr>
        <w:pStyle w:val="3"/>
        <w:spacing w:before="0" w:after="100" w:afterAutospacing="1" w:line="360" w:lineRule="auto"/>
        <w:jc w:val="center"/>
      </w:pPr>
      <w:bookmarkStart w:id="5" w:name="_Toc531623938"/>
      <w:r>
        <w:t>Conclusion</w:t>
      </w:r>
      <w:bookmarkEnd w:id="5"/>
    </w:p>
    <w:p>
      <w:pPr>
        <w:spacing w:after="100" w:afterAutospacing="1" w:line="360" w:lineRule="auto"/>
        <w:jc w:val="both"/>
      </w:pPr>
      <w:r>
        <w:t>Most literal and empirical, academic and industry research supports the London stock exchange to be an efficient market as per the requirements of an efficient market and the well debated efficient markets hypothesis.</w:t>
      </w:r>
    </w:p>
    <w:p>
      <w:pPr>
        <w:spacing w:after="100" w:afterAutospacing="1" w:line="360" w:lineRule="auto"/>
        <w:jc w:val="both"/>
      </w:pPr>
      <w:r>
        <w:t xml:space="preserve"> (Augustus and Novickyte, 2014) collaborates the studies of founder of the efficient markets hypothesis, (Gibson G, 1889), who published a book on the London, Paris and New York stock exchanges, citing that stock valuation is a voting process where participants vote according to the information they have about the direction the stock price will take. This, in itself qualifies the London stock exchange to be an efficient market.</w:t>
      </w:r>
    </w:p>
    <w:p>
      <w:pPr>
        <w:pStyle w:val="2"/>
      </w:pPr>
      <w:bookmarkStart w:id="6" w:name="_Toc531623939"/>
      <w:r>
        <w:t>Weighted average cost of capital AstraZeneca 2018</w:t>
      </w:r>
      <w:bookmarkEnd w:id="6"/>
    </w:p>
    <w:p/>
    <w:p>
      <w:pPr>
        <w:spacing w:after="100" w:afterAutospacing="1" w:line="360" w:lineRule="auto"/>
        <w:jc w:val="both"/>
      </w:pPr>
      <w:r>
        <w:t>The prevailing government bond rate in the UK that is applicable as the risk free rate of return for AstraZeneca Wacc calculations was 0.75% and the core tax rate for discounting the credit risk rate was 14%.</w:t>
      </w:r>
    </w:p>
    <w:p>
      <w:pPr>
        <w:spacing w:after="100" w:afterAutospacing="1" w:line="360" w:lineRule="auto"/>
        <w:jc w:val="both"/>
      </w:pPr>
      <w:r>
        <w:t>The equity returns calculations are done using the Capital asset pricing model where the returns are equal to risk free rate of return plus the company’s beta multiplied by the market rate minus the risk free rate of return.</w:t>
      </w:r>
    </w:p>
    <w:p>
      <w:pPr>
        <w:spacing w:after="100" w:afterAutospacing="1" w:line="360" w:lineRule="auto"/>
        <w:jc w:val="both"/>
      </w:pPr>
      <w:r>
        <w:t xml:space="preserve">The return on debt was calculated using the 2.2% prevailing interest rate on debt reported on page 162 of their 2017 financial statements plus addition of the adjusted 1% credit risk rate times the tax discount rate of one minus 0.14 0r 14% prevailing tax rate. </w:t>
      </w:r>
    </w:p>
    <w:p>
      <w:pPr>
        <w:spacing w:after="100" w:afterAutospacing="1" w:line="360" w:lineRule="auto"/>
        <w:jc w:val="both"/>
      </w:pPr>
      <w:r>
        <w:t>The total weightings for the WACC calculations were extracted from the equity and total debt totals in the 2017 financial statements. The three year prevailing market share price for AstraZeneca plc ordinary per share price as per the London stock exchange of $0.25 was used in the CAPM and WACC calculations.</w:t>
      </w:r>
    </w:p>
    <w:p>
      <w:pPr>
        <w:spacing w:after="100" w:afterAutospacing="1" w:line="360" w:lineRule="auto"/>
      </w:pPr>
      <w:r>
        <w:t>Return on debt = (debt interest + credit risk rate) (1-Tax rate)</w:t>
      </w:r>
    </w:p>
    <w:p>
      <w:pPr>
        <w:spacing w:after="100" w:afterAutospacing="1" w:line="360" w:lineRule="auto"/>
      </w:pPr>
      <w:r>
        <w:t>CAPM = Risk free rate + Beta (Market rate – Risk free rate)</w:t>
      </w:r>
    </w:p>
    <w:p>
      <w:pPr>
        <w:pStyle w:val="3"/>
        <w:spacing w:before="0" w:after="100" w:afterAutospacing="1" w:line="360" w:lineRule="auto"/>
      </w:pPr>
      <w:bookmarkStart w:id="7" w:name="_Toc531623940"/>
      <w:r>
        <w:t>Financial calculations results</w:t>
      </w:r>
      <w:bookmarkEnd w:id="7"/>
    </w:p>
    <w:p>
      <w:r>
        <w:t>The results of the financial calculations done in excel were as follows:</w:t>
      </w:r>
    </w:p>
    <w:p/>
    <w:p/>
    <w:p>
      <w:pPr>
        <w:pStyle w:val="7"/>
      </w:pPr>
      <w:r>
        <w:t xml:space="preserve">Table </w:t>
      </w:r>
      <w:r>
        <w:fldChar w:fldCharType="begin"/>
      </w:r>
      <w:r>
        <w:instrText xml:space="preserve"> SEQ Table \* ARABIC </w:instrText>
      </w:r>
      <w:r>
        <w:fldChar w:fldCharType="separate"/>
      </w:r>
      <w:r>
        <w:t>1</w:t>
      </w:r>
      <w:r>
        <w:fldChar w:fldCharType="end"/>
      </w:r>
      <w:r>
        <w:t xml:space="preserve"> Capital asset pricing model for the return on equity used in WACC calculations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3"/>
        <w:gridCol w:w="1594"/>
        <w:gridCol w:w="1094"/>
        <w:gridCol w:w="2001"/>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80" w:type="dxa"/>
            <w:noWrap/>
          </w:tcPr>
          <w:p>
            <w:pPr>
              <w:spacing w:after="100" w:afterAutospacing="1" w:line="360" w:lineRule="auto"/>
            </w:pPr>
            <w:r>
              <w:t>CAPM</w:t>
            </w:r>
          </w:p>
        </w:tc>
        <w:tc>
          <w:tcPr>
            <w:tcW w:w="2920" w:type="dxa"/>
            <w:noWrap/>
          </w:tcPr>
          <w:p>
            <w:pPr>
              <w:spacing w:after="100" w:afterAutospacing="1" w:line="360" w:lineRule="auto"/>
            </w:pPr>
            <w:r>
              <w:t>Risk free rate of return</w:t>
            </w:r>
          </w:p>
        </w:tc>
        <w:tc>
          <w:tcPr>
            <w:tcW w:w="1940" w:type="dxa"/>
            <w:noWrap/>
          </w:tcPr>
          <w:p>
            <w:pPr>
              <w:spacing w:after="100" w:afterAutospacing="1" w:line="360" w:lineRule="auto"/>
            </w:pPr>
            <w:r>
              <w:t>beta</w:t>
            </w:r>
          </w:p>
        </w:tc>
        <w:tc>
          <w:tcPr>
            <w:tcW w:w="3720" w:type="dxa"/>
            <w:noWrap/>
          </w:tcPr>
          <w:p>
            <w:pPr>
              <w:spacing w:after="100" w:afterAutospacing="1" w:line="360" w:lineRule="auto"/>
            </w:pPr>
            <w:r>
              <w:t>beta(Market rate - Risk free rate)</w:t>
            </w:r>
          </w:p>
        </w:tc>
        <w:tc>
          <w:tcPr>
            <w:tcW w:w="2540" w:type="dxa"/>
            <w:noWrap/>
          </w:tcPr>
          <w:p>
            <w:pPr>
              <w:spacing w:after="100" w:afterAutospacing="1" w:line="360" w:lineRule="auto"/>
            </w:pPr>
            <w:r>
              <w:t>Cost of equity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80" w:type="dxa"/>
            <w:noWrap/>
          </w:tcPr>
          <w:p>
            <w:pPr>
              <w:spacing w:after="100" w:afterAutospacing="1" w:line="360" w:lineRule="auto"/>
            </w:pPr>
            <w:r>
              <w:t>COST OF EQUITY</w:t>
            </w:r>
          </w:p>
        </w:tc>
        <w:tc>
          <w:tcPr>
            <w:tcW w:w="2920" w:type="dxa"/>
            <w:noWrap/>
          </w:tcPr>
          <w:p>
            <w:pPr>
              <w:spacing w:after="100" w:afterAutospacing="1" w:line="360" w:lineRule="auto"/>
            </w:pPr>
            <w:r>
              <w:t>0.075</w:t>
            </w:r>
          </w:p>
        </w:tc>
        <w:tc>
          <w:tcPr>
            <w:tcW w:w="1940" w:type="dxa"/>
            <w:noWrap/>
          </w:tcPr>
          <w:p>
            <w:pPr>
              <w:spacing w:after="100" w:afterAutospacing="1" w:line="360" w:lineRule="auto"/>
            </w:pPr>
            <w:r>
              <w:t>1.16</w:t>
            </w:r>
          </w:p>
        </w:tc>
        <w:tc>
          <w:tcPr>
            <w:tcW w:w="3720" w:type="dxa"/>
            <w:noWrap/>
          </w:tcPr>
          <w:p>
            <w:pPr>
              <w:spacing w:after="100" w:afterAutospacing="1" w:line="360" w:lineRule="auto"/>
            </w:pPr>
            <w:r>
              <w:t>0.203</w:t>
            </w:r>
          </w:p>
        </w:tc>
        <w:tc>
          <w:tcPr>
            <w:tcW w:w="2540" w:type="dxa"/>
            <w:noWrap/>
          </w:tcPr>
          <w:p>
            <w:pPr>
              <w:spacing w:after="100" w:afterAutospacing="1" w:line="360" w:lineRule="auto"/>
            </w:pPr>
            <w:r>
              <w:t>0.278</w:t>
            </w:r>
          </w:p>
        </w:tc>
      </w:tr>
    </w:tbl>
    <w:p>
      <w:pPr>
        <w:spacing w:after="100" w:afterAutospacing="1" w:line="360" w:lineRule="auto"/>
      </w:pPr>
    </w:p>
    <w:p>
      <w:pPr>
        <w:pStyle w:val="7"/>
      </w:pPr>
      <w:r>
        <w:t xml:space="preserve">Table </w:t>
      </w:r>
      <w:r>
        <w:fldChar w:fldCharType="begin"/>
      </w:r>
      <w:r>
        <w:instrText xml:space="preserve"> SEQ Table \* ARABIC </w:instrText>
      </w:r>
      <w:r>
        <w:fldChar w:fldCharType="separate"/>
      </w:r>
      <w:r>
        <w:t>2</w:t>
      </w:r>
      <w:r>
        <w:fldChar w:fldCharType="end"/>
      </w:r>
      <w:r>
        <w:t xml:space="preserve"> Cost of debt calculations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3"/>
        <w:gridCol w:w="1594"/>
        <w:gridCol w:w="1094"/>
        <w:gridCol w:w="2001"/>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80" w:type="dxa"/>
            <w:noWrap/>
          </w:tcPr>
          <w:p>
            <w:r>
              <w:t>COST OF DEBT</w:t>
            </w:r>
          </w:p>
        </w:tc>
        <w:tc>
          <w:tcPr>
            <w:tcW w:w="2920" w:type="dxa"/>
            <w:noWrap/>
          </w:tcPr>
          <w:p>
            <w:r>
              <w:t>Debt interest rate</w:t>
            </w:r>
          </w:p>
        </w:tc>
        <w:tc>
          <w:tcPr>
            <w:tcW w:w="1940" w:type="dxa"/>
            <w:noWrap/>
          </w:tcPr>
          <w:p>
            <w:r>
              <w:t>credit risk premium</w:t>
            </w:r>
          </w:p>
        </w:tc>
        <w:tc>
          <w:tcPr>
            <w:tcW w:w="3720" w:type="dxa"/>
            <w:noWrap/>
          </w:tcPr>
          <w:p>
            <w:r>
              <w:t>(1-Tax rate)</w:t>
            </w:r>
          </w:p>
        </w:tc>
        <w:tc>
          <w:tcPr>
            <w:tcW w:w="2540" w:type="dxa"/>
            <w:noWrap/>
          </w:tcPr>
          <w:p>
            <w:r>
              <w:t>Return on debt for wacc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80" w:type="dxa"/>
            <w:noWrap/>
          </w:tcPr>
          <w:p>
            <w:r>
              <w:t>COST OF DEBT</w:t>
            </w:r>
          </w:p>
        </w:tc>
        <w:tc>
          <w:tcPr>
            <w:tcW w:w="2920" w:type="dxa"/>
            <w:noWrap/>
          </w:tcPr>
          <w:p>
            <w:r>
              <w:t>0.022</w:t>
            </w:r>
          </w:p>
        </w:tc>
        <w:tc>
          <w:tcPr>
            <w:tcW w:w="1940" w:type="dxa"/>
            <w:noWrap/>
          </w:tcPr>
          <w:p>
            <w:r>
              <w:t>0.01</w:t>
            </w:r>
          </w:p>
        </w:tc>
        <w:tc>
          <w:tcPr>
            <w:tcW w:w="3720" w:type="dxa"/>
            <w:noWrap/>
          </w:tcPr>
          <w:p>
            <w:r>
              <w:t>0.86</w:t>
            </w:r>
          </w:p>
        </w:tc>
        <w:tc>
          <w:tcPr>
            <w:tcW w:w="2540" w:type="dxa"/>
            <w:noWrap/>
          </w:tcPr>
          <w:p>
            <w:r>
              <w:t>0.0001892</w:t>
            </w:r>
          </w:p>
        </w:tc>
      </w:tr>
    </w:tbl>
    <w:p/>
    <w:p>
      <w:pPr>
        <w:spacing w:after="100" w:afterAutospacing="1" w:line="360" w:lineRule="auto"/>
        <w:jc w:val="both"/>
      </w:pPr>
    </w:p>
    <w:p>
      <w:pPr>
        <w:pStyle w:val="7"/>
      </w:pPr>
      <w:r>
        <w:t xml:space="preserve">Table </w:t>
      </w:r>
      <w:r>
        <w:fldChar w:fldCharType="begin"/>
      </w:r>
      <w:r>
        <w:instrText xml:space="preserve"> SEQ Table \* ARABIC </w:instrText>
      </w:r>
      <w:r>
        <w:fldChar w:fldCharType="separate"/>
      </w:r>
      <w:r>
        <w:t>3</w:t>
      </w:r>
      <w:r>
        <w:fldChar w:fldCharType="end"/>
      </w:r>
      <w:r>
        <w:t xml:space="preserve"> Weighted average cost of capital calculations</w:t>
      </w:r>
    </w:p>
    <w:p/>
    <w:tbl>
      <w:tblPr>
        <w:tblStyle w:val="11"/>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5"/>
        <w:gridCol w:w="1842"/>
        <w:gridCol w:w="1356"/>
        <w:gridCol w:w="139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85" w:type="dxa"/>
            <w:noWrap/>
          </w:tcPr>
          <w:p>
            <w:r>
              <w:t>ALTRAZENEKA WACC 2017</w:t>
            </w:r>
          </w:p>
        </w:tc>
        <w:tc>
          <w:tcPr>
            <w:tcW w:w="1842" w:type="dxa"/>
            <w:noWrap/>
          </w:tcPr>
          <w:p>
            <w:r>
              <w:t xml:space="preserve">AMOUNT MILLION DOLLARS $ </w:t>
            </w:r>
          </w:p>
        </w:tc>
        <w:tc>
          <w:tcPr>
            <w:tcW w:w="1356" w:type="dxa"/>
            <w:noWrap/>
          </w:tcPr>
          <w:p>
            <w:r>
              <w:t>W = TOTAL/E OR D</w:t>
            </w:r>
          </w:p>
        </w:tc>
        <w:tc>
          <w:tcPr>
            <w:tcW w:w="1392" w:type="dxa"/>
            <w:noWrap/>
          </w:tcPr>
          <w:p>
            <w:r>
              <w:t>RETURNS       R</w:t>
            </w:r>
          </w:p>
        </w:tc>
        <w:tc>
          <w:tcPr>
            <w:tcW w:w="1620" w:type="dxa"/>
            <w:noWrap/>
          </w:tcPr>
          <w:p>
            <w:r>
              <w:t>W*R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85" w:type="dxa"/>
            <w:noWrap/>
          </w:tcPr>
          <w:p>
            <w:r>
              <w:t>TOTAL EQUITY                                                                                              E</w:t>
            </w:r>
          </w:p>
        </w:tc>
        <w:tc>
          <w:tcPr>
            <w:tcW w:w="1842" w:type="dxa"/>
            <w:noWrap/>
          </w:tcPr>
          <w:p>
            <w:r>
              <w:t>16,642</w:t>
            </w:r>
          </w:p>
        </w:tc>
        <w:tc>
          <w:tcPr>
            <w:tcW w:w="1356" w:type="dxa"/>
            <w:noWrap/>
          </w:tcPr>
          <w:p>
            <w:r>
              <w:t>2</w:t>
            </w:r>
          </w:p>
        </w:tc>
        <w:tc>
          <w:tcPr>
            <w:tcW w:w="1392" w:type="dxa"/>
            <w:noWrap/>
          </w:tcPr>
          <w:p>
            <w:r>
              <w:t>0.278</w:t>
            </w:r>
          </w:p>
        </w:tc>
        <w:tc>
          <w:tcPr>
            <w:tcW w:w="1620" w:type="dxa"/>
            <w:noWrap/>
          </w:tcPr>
          <w:p>
            <w:r>
              <w:t>0.575461002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785" w:type="dxa"/>
            <w:noWrap/>
          </w:tcPr>
          <w:p>
            <w:r>
              <w:t>LONG TERM INTEREST BEARING LOANS AND BORROWINGS    D</w:t>
            </w:r>
          </w:p>
        </w:tc>
        <w:tc>
          <w:tcPr>
            <w:tcW w:w="1842" w:type="dxa"/>
            <w:noWrap/>
          </w:tcPr>
          <w:p>
            <w:r>
              <w:t>17,807</w:t>
            </w:r>
          </w:p>
        </w:tc>
        <w:tc>
          <w:tcPr>
            <w:tcW w:w="1356" w:type="dxa"/>
            <w:noWrap/>
          </w:tcPr>
          <w:p>
            <w:r>
              <w:t>1.93457629</w:t>
            </w:r>
          </w:p>
        </w:tc>
        <w:tc>
          <w:tcPr>
            <w:tcW w:w="1392" w:type="dxa"/>
            <w:noWrap/>
          </w:tcPr>
          <w:p>
            <w:r>
              <w:t>0.0001892</w:t>
            </w:r>
          </w:p>
        </w:tc>
        <w:tc>
          <w:tcPr>
            <w:tcW w:w="1620" w:type="dxa"/>
            <w:noWrap/>
          </w:tcPr>
          <w:p>
            <w:r>
              <w:t>0.000366022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85" w:type="dxa"/>
            <w:noWrap/>
          </w:tcPr>
          <w:p>
            <w:r>
              <w:t>TOTAL</w:t>
            </w:r>
          </w:p>
        </w:tc>
        <w:tc>
          <w:tcPr>
            <w:tcW w:w="1842" w:type="dxa"/>
            <w:noWrap/>
          </w:tcPr>
          <w:p>
            <w:r>
              <w:t>34,449</w:t>
            </w:r>
          </w:p>
        </w:tc>
        <w:tc>
          <w:tcPr>
            <w:tcW w:w="1356" w:type="dxa"/>
            <w:noWrap/>
          </w:tcPr>
          <w:p/>
        </w:tc>
        <w:tc>
          <w:tcPr>
            <w:tcW w:w="1392" w:type="dxa"/>
            <w:noWrap/>
          </w:tcPr>
          <w:p>
            <w:pPr>
              <w:rPr>
                <w:color w:val="FF0000"/>
              </w:rPr>
            </w:pPr>
            <w:r>
              <w:rPr>
                <w:color w:val="FF0000"/>
              </w:rPr>
              <w:t>WACC</w:t>
            </w:r>
          </w:p>
        </w:tc>
        <w:tc>
          <w:tcPr>
            <w:tcW w:w="1620" w:type="dxa"/>
            <w:noWrap/>
          </w:tcPr>
          <w:p>
            <w:pPr>
              <w:rPr>
                <w:color w:val="FF0000"/>
              </w:rPr>
            </w:pPr>
            <w:r>
              <w:rPr>
                <w:color w:val="FF0000"/>
              </w:rPr>
              <w:t>0.575827024</w:t>
            </w:r>
          </w:p>
        </w:tc>
      </w:tr>
    </w:tbl>
    <w:p/>
    <w:p>
      <w:pPr>
        <w:pStyle w:val="3"/>
      </w:pPr>
      <w:bookmarkStart w:id="8" w:name="_Toc531623941"/>
      <w:r>
        <w:t>Conclusion</w:t>
      </w:r>
      <w:bookmarkEnd w:id="8"/>
    </w:p>
    <w:p/>
    <w:p>
      <w:pPr>
        <w:jc w:val="both"/>
      </w:pPr>
      <w:r>
        <w:t xml:space="preserve">The leverage position is very high for AstraZeneca with $17,807 million exceeding equity of $ 16642 million which is not a good capital structure position. The WACC of 57.58 % is also quite high as a minimum expected return on all long term financiers of the company. </w:t>
      </w:r>
    </w:p>
    <w:p>
      <w:pPr>
        <w:jc w:val="both"/>
      </w:pPr>
    </w:p>
    <w:p>
      <w:pPr>
        <w:jc w:val="both"/>
      </w:pPr>
      <w:r>
        <w:t xml:space="preserve">The company’s financial statements show a dividend of $3,519 million which is quite high for an operating profit EBIT of $3677 million for the year considering taxes $641 million and net finance interest expense of $1395 million for the  year despite the reported high percentages increases in revenue.  </w:t>
      </w:r>
    </w:p>
    <w:p>
      <w:pPr>
        <w:spacing w:after="100" w:afterAutospacing="1" w:line="360" w:lineRule="auto"/>
        <w:jc w:val="both"/>
      </w:pPr>
    </w:p>
    <w:p>
      <w:pPr>
        <w:spacing w:after="100" w:afterAutospacing="1" w:line="360" w:lineRule="auto"/>
        <w:jc w:val="both"/>
      </w:pPr>
    </w:p>
    <w:p>
      <w:pPr>
        <w:pStyle w:val="3"/>
        <w:jc w:val="center"/>
      </w:pPr>
      <w:bookmarkStart w:id="9" w:name="_Toc531623942"/>
      <w:r>
        <w:t>References</w:t>
      </w:r>
      <w:bookmarkEnd w:id="9"/>
    </w:p>
    <w:p>
      <w:pPr>
        <w:pStyle w:val="19"/>
        <w:rPr>
          <w:rFonts w:ascii="Times New Roman" w:hAnsi="Times New Roman" w:eastAsia="Arial" w:cs="Times New Roman"/>
          <w:color w:val="FF0000"/>
          <w:sz w:val="24"/>
          <w:szCs w:val="24"/>
        </w:rPr>
      </w:pPr>
    </w:p>
    <w:p>
      <w:pPr>
        <w:pStyle w:val="1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Augustus, D. and Novickyte, L. (2014). </w:t>
      </w:r>
      <w:r>
        <w:rPr>
          <w:rFonts w:ascii="Times New Roman" w:hAnsi="Times New Roman" w:cs="Times New Roman"/>
          <w:i/>
          <w:iCs/>
          <w:sz w:val="24"/>
          <w:szCs w:val="24"/>
          <w:shd w:val="clear" w:color="auto" w:fill="FFFFFF"/>
        </w:rPr>
        <w:t>THE EFFICIENT MARKET HYPOTHESIS: A CRITICAL REVIEW OF LITERATURE AND METHODOLOGY</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[online] Zurnalai.vu.lt. Available at: </w:t>
      </w:r>
    </w:p>
    <w:p>
      <w:pPr>
        <w:pStyle w:val="19"/>
        <w:jc w:val="both"/>
        <w:rPr>
          <w:rFonts w:ascii="Times New Roman" w:hAnsi="Times New Roman" w:cs="Times New Roman"/>
          <w:sz w:val="24"/>
          <w:szCs w:val="24"/>
          <w:shd w:val="clear" w:color="auto" w:fill="FFFFFF"/>
        </w:rPr>
      </w:pPr>
      <w:r>
        <w:fldChar w:fldCharType="begin"/>
      </w:r>
      <w:r>
        <w:instrText xml:space="preserve"> HYPERLINK "http://www.zurnalai.vu.lt/ekonomika/article/download/3549/2564" </w:instrText>
      </w:r>
      <w:r>
        <w:fldChar w:fldCharType="separate"/>
      </w:r>
      <w:r>
        <w:rPr>
          <w:rStyle w:val="10"/>
          <w:rFonts w:ascii="Times New Roman" w:hAnsi="Times New Roman" w:cs="Times New Roman"/>
          <w:sz w:val="24"/>
          <w:szCs w:val="24"/>
          <w:shd w:val="clear" w:color="auto" w:fill="FFFFFF"/>
        </w:rPr>
        <w:t>http://www.zurnalai.vu.lt/ekonomika/article/download/3549/2564</w:t>
      </w:r>
      <w:r>
        <w:rPr>
          <w:rStyle w:val="10"/>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[Accessed 3 Dec. 2018].</w:t>
      </w:r>
    </w:p>
    <w:p>
      <w:pPr>
        <w:pStyle w:val="19"/>
        <w:jc w:val="both"/>
        <w:rPr>
          <w:rFonts w:ascii="Times New Roman" w:hAnsi="Times New Roman" w:cs="Times New Roman"/>
          <w:sz w:val="24"/>
          <w:szCs w:val="24"/>
          <w:shd w:val="clear" w:color="auto" w:fill="FFFFFF"/>
        </w:rPr>
      </w:pPr>
    </w:p>
    <w:p>
      <w:pPr>
        <w:pStyle w:val="1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Campbell, G., Quinn, W., Turner, J. and Ye, Q. (2017). What moved share prices in the nineteenth-century London stock market?†. </w:t>
      </w:r>
      <w:r>
        <w:rPr>
          <w:rFonts w:ascii="Times New Roman" w:hAnsi="Times New Roman" w:cs="Times New Roman"/>
          <w:i/>
          <w:iCs/>
          <w:sz w:val="24"/>
          <w:szCs w:val="24"/>
          <w:shd w:val="clear" w:color="auto" w:fill="FFFFFF"/>
        </w:rPr>
        <w:t>The Economic History Review</w:t>
      </w:r>
      <w:r>
        <w:rPr>
          <w:rFonts w:ascii="Times New Roman" w:hAnsi="Times New Roman" w:cs="Times New Roman"/>
          <w:sz w:val="24"/>
          <w:szCs w:val="24"/>
          <w:shd w:val="clear" w:color="auto" w:fill="FFFFFF"/>
        </w:rPr>
        <w:t>, 71(1), pp.157-189.</w:t>
      </w:r>
    </w:p>
    <w:p>
      <w:pPr>
        <w:pStyle w:val="19"/>
        <w:jc w:val="both"/>
        <w:rPr>
          <w:rFonts w:ascii="Times New Roman" w:hAnsi="Times New Roman" w:cs="Times New Roman"/>
          <w:sz w:val="24"/>
          <w:szCs w:val="24"/>
          <w:shd w:val="clear" w:color="auto" w:fill="FFFFFF"/>
        </w:rPr>
      </w:pPr>
    </w:p>
    <w:p>
      <w:pPr>
        <w:pStyle w:val="1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Danilova, A. (2010). Stock market insider trading in continuous time with imperfect dynamic information. </w:t>
      </w:r>
      <w:r>
        <w:rPr>
          <w:rFonts w:ascii="Times New Roman" w:hAnsi="Times New Roman" w:cs="Times New Roman"/>
          <w:i/>
          <w:iCs/>
          <w:sz w:val="24"/>
          <w:szCs w:val="24"/>
          <w:shd w:val="clear" w:color="auto" w:fill="FFFFFF"/>
        </w:rPr>
        <w:t>Stochastics</w:t>
      </w:r>
      <w:r>
        <w:rPr>
          <w:rFonts w:ascii="Times New Roman" w:hAnsi="Times New Roman" w:cs="Times New Roman"/>
          <w:sz w:val="24"/>
          <w:szCs w:val="24"/>
          <w:shd w:val="clear" w:color="auto" w:fill="FFFFFF"/>
        </w:rPr>
        <w:t xml:space="preserve">, [online] 82(1), pp.111-131. Available at: </w:t>
      </w:r>
    </w:p>
    <w:p>
      <w:pPr>
        <w:pStyle w:val="19"/>
        <w:jc w:val="both"/>
        <w:rPr>
          <w:rFonts w:ascii="Times New Roman" w:hAnsi="Times New Roman" w:cs="Times New Roman"/>
          <w:sz w:val="24"/>
          <w:szCs w:val="24"/>
          <w:shd w:val="clear" w:color="auto" w:fill="FFFFFF"/>
        </w:rPr>
      </w:pPr>
      <w:r>
        <w:fldChar w:fldCharType="begin"/>
      </w:r>
      <w:r>
        <w:instrText xml:space="preserve"> HYPERLINK "http://personal.lse.ac.uk/danilova/papers/Stoch2010.pdf" </w:instrText>
      </w:r>
      <w:r>
        <w:fldChar w:fldCharType="separate"/>
      </w:r>
      <w:r>
        <w:rPr>
          <w:rStyle w:val="10"/>
          <w:rFonts w:ascii="Times New Roman" w:hAnsi="Times New Roman" w:cs="Times New Roman"/>
          <w:sz w:val="24"/>
          <w:szCs w:val="24"/>
          <w:shd w:val="clear" w:color="auto" w:fill="FFFFFF"/>
        </w:rPr>
        <w:t>http://personal.lse.ac.uk/danilova/papers/Stoch2010.pdf</w:t>
      </w:r>
      <w:r>
        <w:rPr>
          <w:rStyle w:val="10"/>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[Accessed 29 Nov. 2018].</w:t>
      </w:r>
    </w:p>
    <w:p>
      <w:pPr>
        <w:pStyle w:val="19"/>
        <w:jc w:val="both"/>
        <w:rPr>
          <w:rFonts w:ascii="Times New Roman" w:hAnsi="Times New Roman" w:cs="Times New Roman"/>
          <w:sz w:val="24"/>
          <w:szCs w:val="24"/>
          <w:shd w:val="clear" w:color="auto" w:fill="FFFFFF"/>
        </w:rPr>
      </w:pPr>
    </w:p>
    <w:p>
      <w:pPr>
        <w:pStyle w:val="1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Friederich, S. and Payne, R. (2002). Dealer Liquidity in an Auction Market: Evidence from the London Stock Exchange. </w:t>
      </w:r>
      <w:r>
        <w:rPr>
          <w:rFonts w:ascii="Times New Roman" w:hAnsi="Times New Roman" w:cs="Times New Roman"/>
          <w:i/>
          <w:iCs/>
          <w:sz w:val="24"/>
          <w:szCs w:val="24"/>
          <w:shd w:val="clear" w:color="auto" w:fill="FFFFFF"/>
        </w:rPr>
        <w:t>SSRN Electronic Journal</w:t>
      </w:r>
      <w:r>
        <w:rPr>
          <w:rFonts w:ascii="Times New Roman" w:hAnsi="Times New Roman" w:cs="Times New Roman"/>
          <w:sz w:val="24"/>
          <w:szCs w:val="24"/>
          <w:shd w:val="clear" w:color="auto" w:fill="FFFFFF"/>
        </w:rPr>
        <w:t xml:space="preserve">. [online] Available at: </w:t>
      </w:r>
    </w:p>
    <w:p>
      <w:pPr>
        <w:pStyle w:val="19"/>
        <w:jc w:val="both"/>
        <w:rPr>
          <w:rFonts w:ascii="Times New Roman" w:hAnsi="Times New Roman" w:cs="Times New Roman"/>
          <w:sz w:val="24"/>
          <w:szCs w:val="24"/>
          <w:shd w:val="clear" w:color="auto" w:fill="FFFFFF"/>
        </w:rPr>
      </w:pPr>
      <w:r>
        <w:fldChar w:fldCharType="begin"/>
      </w:r>
      <w:r>
        <w:instrText xml:space="preserve"> HYPERLINK "https://core.ac.uk/download/pdf/95460.pdf" </w:instrText>
      </w:r>
      <w:r>
        <w:fldChar w:fldCharType="separate"/>
      </w:r>
      <w:r>
        <w:rPr>
          <w:rStyle w:val="10"/>
          <w:rFonts w:ascii="Times New Roman" w:hAnsi="Times New Roman" w:cs="Times New Roman"/>
          <w:sz w:val="24"/>
          <w:szCs w:val="24"/>
          <w:shd w:val="clear" w:color="auto" w:fill="FFFFFF"/>
        </w:rPr>
        <w:t>https://core.ac.uk/download/pdf/95460.pdf</w:t>
      </w:r>
      <w:r>
        <w:rPr>
          <w:rStyle w:val="10"/>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[Accessed 3 Dec. 2018].</w:t>
      </w:r>
    </w:p>
    <w:p>
      <w:pPr>
        <w:pStyle w:val="19"/>
        <w:jc w:val="both"/>
        <w:rPr>
          <w:rFonts w:ascii="Times New Roman" w:hAnsi="Times New Roman" w:cs="Times New Roman"/>
          <w:sz w:val="24"/>
          <w:szCs w:val="24"/>
          <w:shd w:val="clear" w:color="auto" w:fill="FFFFFF"/>
        </w:rPr>
      </w:pPr>
    </w:p>
    <w:p>
      <w:pPr>
        <w:pStyle w:val="19"/>
        <w:jc w:val="both"/>
        <w:rPr>
          <w:rFonts w:ascii="Arial" w:hAnsi="Arial" w:cs="Arial"/>
          <w:sz w:val="20"/>
          <w:szCs w:val="20"/>
          <w:shd w:val="clear" w:color="auto" w:fill="FFFFFF"/>
        </w:rPr>
      </w:pPr>
      <w:r>
        <w:rPr>
          <w:rFonts w:ascii="Arial" w:hAnsi="Arial" w:cs="Arial"/>
          <w:sz w:val="20"/>
          <w:szCs w:val="20"/>
          <w:shd w:val="clear" w:color="auto" w:fill="FFFFFF"/>
        </w:rPr>
        <w:t>Kyriacou, K., Luintel, K. and Mase, B. (2009). Private Information in Executive Stock Option Trades: Evidence of Insider Trading in the UK. </w:t>
      </w:r>
      <w:r>
        <w:rPr>
          <w:rFonts w:ascii="Arial" w:hAnsi="Arial" w:cs="Arial"/>
          <w:i/>
          <w:iCs/>
          <w:sz w:val="20"/>
          <w:szCs w:val="20"/>
          <w:shd w:val="clear" w:color="auto" w:fill="FFFFFF"/>
        </w:rPr>
        <w:t>Economica</w:t>
      </w:r>
      <w:r>
        <w:rPr>
          <w:rFonts w:ascii="Arial" w:hAnsi="Arial" w:cs="Arial"/>
          <w:sz w:val="20"/>
          <w:szCs w:val="20"/>
          <w:shd w:val="clear" w:color="auto" w:fill="FFFFFF"/>
        </w:rPr>
        <w:t xml:space="preserve">, [online] 77(308), pp.751-774. Available at: </w:t>
      </w:r>
      <w:r>
        <w:fldChar w:fldCharType="begin"/>
      </w:r>
      <w:r>
        <w:instrText xml:space="preserve"> HYPERLINK "https://onlinelibrary.wiley.com/doi/pdf/10.1111/j.1468-0335.2009.00775.x" </w:instrText>
      </w:r>
      <w:r>
        <w:fldChar w:fldCharType="separate"/>
      </w:r>
      <w:r>
        <w:rPr>
          <w:rStyle w:val="10"/>
          <w:rFonts w:ascii="Arial" w:hAnsi="Arial" w:cs="Arial"/>
          <w:sz w:val="20"/>
          <w:szCs w:val="20"/>
          <w:shd w:val="clear" w:color="auto" w:fill="FFFFFF"/>
        </w:rPr>
        <w:t>https://onlinelibrary.wiley.com/doi/pdf/10.1111/j.1468-0335.2009.00775.x</w:t>
      </w:r>
      <w:r>
        <w:rPr>
          <w:rStyle w:val="10"/>
          <w:rFonts w:ascii="Arial" w:hAnsi="Arial" w:cs="Arial"/>
          <w:sz w:val="20"/>
          <w:szCs w:val="20"/>
          <w:shd w:val="clear" w:color="auto" w:fill="FFFFFF"/>
        </w:rPr>
        <w:fldChar w:fldCharType="end"/>
      </w:r>
      <w:r>
        <w:rPr>
          <w:rFonts w:ascii="Arial" w:hAnsi="Arial" w:cs="Arial"/>
          <w:sz w:val="20"/>
          <w:szCs w:val="20"/>
          <w:shd w:val="clear" w:color="auto" w:fill="FFFFFF"/>
        </w:rPr>
        <w:t xml:space="preserve"> [Accessed 1 Nov. 2018].</w:t>
      </w:r>
    </w:p>
    <w:p>
      <w:pPr>
        <w:pStyle w:val="19"/>
        <w:jc w:val="both"/>
        <w:rPr>
          <w:rFonts w:ascii="Arial" w:hAnsi="Arial" w:cs="Arial"/>
          <w:sz w:val="20"/>
          <w:szCs w:val="20"/>
          <w:shd w:val="clear" w:color="auto" w:fill="FFFFFF"/>
        </w:rPr>
      </w:pPr>
    </w:p>
    <w:p>
      <w:pPr>
        <w:pStyle w:val="19"/>
        <w:jc w:val="both"/>
        <w:rPr>
          <w:rFonts w:ascii="Arial" w:hAnsi="Arial" w:cs="Arial"/>
          <w:sz w:val="20"/>
          <w:szCs w:val="20"/>
          <w:shd w:val="clear" w:color="auto" w:fill="FFFFFF"/>
        </w:rPr>
      </w:pPr>
      <w:r>
        <w:rPr>
          <w:rFonts w:ascii="Arial" w:hAnsi="Arial" w:cs="Arial"/>
          <w:sz w:val="20"/>
          <w:szCs w:val="20"/>
          <w:shd w:val="clear" w:color="auto" w:fill="FFFFFF"/>
        </w:rPr>
        <w:t>Libberton, S. (2010). </w:t>
      </w:r>
      <w:r>
        <w:rPr>
          <w:rFonts w:ascii="Arial" w:hAnsi="Arial" w:cs="Arial"/>
          <w:i/>
          <w:iCs/>
          <w:sz w:val="20"/>
          <w:szCs w:val="20"/>
          <w:shd w:val="clear" w:color="auto" w:fill="FFFFFF"/>
        </w:rPr>
        <w:t>IS THE LONDON STOCK EXCHANGE WEAK-FORM EFFICIENT?</w:t>
      </w:r>
      <w:r>
        <w:rPr>
          <w:rFonts w:ascii="Arial" w:hAnsi="Arial" w:cs="Arial"/>
          <w:sz w:val="20"/>
          <w:szCs w:val="20"/>
          <w:shd w:val="clear" w:color="auto" w:fill="FFFFFF"/>
        </w:rPr>
        <w:t>. Undergraduate. LOUGHBOROUGH UNIVERSITY.</w:t>
      </w:r>
    </w:p>
    <w:p>
      <w:pPr>
        <w:pStyle w:val="19"/>
        <w:jc w:val="both"/>
        <w:rPr>
          <w:rFonts w:ascii="Arial" w:hAnsi="Arial" w:cs="Arial"/>
          <w:sz w:val="20"/>
          <w:szCs w:val="20"/>
          <w:shd w:val="clear" w:color="auto" w:fill="FFFFFF"/>
        </w:rPr>
      </w:pPr>
    </w:p>
    <w:p>
      <w:pPr>
        <w:pStyle w:val="19"/>
        <w:jc w:val="both"/>
        <w:rPr>
          <w:rFonts w:ascii="Arial" w:hAnsi="Arial" w:cs="Arial"/>
          <w:sz w:val="20"/>
          <w:szCs w:val="20"/>
          <w:shd w:val="clear" w:color="auto" w:fill="FFFFFF"/>
        </w:rPr>
      </w:pPr>
      <w:r>
        <w:rPr>
          <w:rFonts w:ascii="Arial" w:hAnsi="Arial" w:cs="Arial"/>
          <w:sz w:val="20"/>
          <w:szCs w:val="20"/>
          <w:shd w:val="clear" w:color="auto" w:fill="FFFFFF"/>
        </w:rPr>
        <w:t>Moore, L. and Braggion, F. (2010). Dividend Policies in an Unregulated Market: The London Stock Exchange 1895-1905. </w:t>
      </w:r>
      <w:r>
        <w:rPr>
          <w:rFonts w:ascii="Arial" w:hAnsi="Arial" w:cs="Arial"/>
          <w:sz w:val="20"/>
          <w:szCs w:val="20"/>
          <w:shd w:val="clear" w:color="auto" w:fill="FFFFFF"/>
        </w:rPr>
        <w:tab/>
      </w:r>
      <w:r>
        <w:rPr>
          <w:rFonts w:ascii="Arial" w:hAnsi="Arial" w:cs="Arial"/>
          <w:i/>
          <w:iCs/>
          <w:sz w:val="20"/>
          <w:szCs w:val="20"/>
          <w:shd w:val="clear" w:color="auto" w:fill="FFFFFF"/>
        </w:rPr>
        <w:t>SSRN Electronic Journal</w:t>
      </w:r>
      <w:r>
        <w:rPr>
          <w:rFonts w:ascii="Arial" w:hAnsi="Arial" w:cs="Arial"/>
          <w:sz w:val="20"/>
          <w:szCs w:val="20"/>
          <w:shd w:val="clear" w:color="auto" w:fill="FFFFFF"/>
        </w:rPr>
        <w:t>.</w:t>
      </w:r>
      <w:r>
        <w:rPr>
          <w:rFonts w:ascii="Arial" w:hAnsi="Arial" w:cs="Arial"/>
          <w:sz w:val="20"/>
          <w:szCs w:val="20"/>
          <w:shd w:val="clear" w:color="auto" w:fill="FFFFFF"/>
        </w:rPr>
        <w:tab/>
      </w:r>
      <w:r>
        <w:rPr>
          <w:rFonts w:ascii="Arial" w:hAnsi="Arial" w:cs="Arial"/>
          <w:sz w:val="20"/>
          <w:szCs w:val="20"/>
          <w:shd w:val="clear" w:color="auto" w:fill="FFFFFF"/>
        </w:rPr>
        <w:t>[online]</w:t>
      </w:r>
      <w:r>
        <w:rPr>
          <w:rFonts w:ascii="Arial" w:hAnsi="Arial" w:cs="Arial"/>
          <w:sz w:val="20"/>
          <w:szCs w:val="20"/>
          <w:shd w:val="clear" w:color="auto" w:fill="FFFFFF"/>
        </w:rPr>
        <w:tab/>
      </w:r>
      <w:r>
        <w:rPr>
          <w:rFonts w:ascii="Arial" w:hAnsi="Arial" w:cs="Arial"/>
          <w:sz w:val="20"/>
          <w:szCs w:val="20"/>
          <w:shd w:val="clear" w:color="auto" w:fill="FFFFFF"/>
        </w:rPr>
        <w:t xml:space="preserve"> Available at: </w:t>
      </w:r>
    </w:p>
    <w:p>
      <w:pPr>
        <w:pStyle w:val="19"/>
        <w:jc w:val="both"/>
        <w:rPr>
          <w:rFonts w:ascii="Times New Roman" w:hAnsi="Times New Roman" w:eastAsia="Arial" w:cs="Times New Roman"/>
          <w:color w:val="FF0000"/>
          <w:sz w:val="24"/>
          <w:szCs w:val="24"/>
        </w:rPr>
      </w:pPr>
      <w:r>
        <w:fldChar w:fldCharType="begin"/>
      </w:r>
      <w:r>
        <w:instrText xml:space="preserve"> HYPERLINK "http://www.efa2009.org/papers/SSRN-id1343046.pdf" </w:instrText>
      </w:r>
      <w:r>
        <w:fldChar w:fldCharType="separate"/>
      </w:r>
      <w:r>
        <w:rPr>
          <w:rStyle w:val="10"/>
          <w:rFonts w:ascii="Arial" w:hAnsi="Arial" w:cs="Arial"/>
          <w:sz w:val="20"/>
          <w:szCs w:val="20"/>
          <w:shd w:val="clear" w:color="auto" w:fill="FFFFFF"/>
        </w:rPr>
        <w:t>http://www.efa2009.org/papers/SSRN-id1343046.pdf</w:t>
      </w:r>
      <w:r>
        <w:rPr>
          <w:rStyle w:val="10"/>
          <w:rFonts w:ascii="Arial" w:hAnsi="Arial" w:cs="Arial"/>
          <w:sz w:val="20"/>
          <w:szCs w:val="20"/>
          <w:shd w:val="clear" w:color="auto" w:fill="FFFFFF"/>
        </w:rPr>
        <w:fldChar w:fldCharType="end"/>
      </w:r>
      <w:r>
        <w:rPr>
          <w:rFonts w:ascii="Arial" w:hAnsi="Arial" w:cs="Arial"/>
          <w:sz w:val="20"/>
          <w:szCs w:val="20"/>
          <w:shd w:val="clear" w:color="auto" w:fill="FFFFFF"/>
        </w:rPr>
        <w:t xml:space="preserve"> [Accessed 2 Nov. 2018].</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FE"/>
    <w:rsid w:val="0000608C"/>
    <w:rsid w:val="00053CA1"/>
    <w:rsid w:val="00066C46"/>
    <w:rsid w:val="000866B3"/>
    <w:rsid w:val="00093D3E"/>
    <w:rsid w:val="000A6D5E"/>
    <w:rsid w:val="000C18A0"/>
    <w:rsid w:val="0012444D"/>
    <w:rsid w:val="00141AED"/>
    <w:rsid w:val="00163D6D"/>
    <w:rsid w:val="00172B1D"/>
    <w:rsid w:val="00193CA5"/>
    <w:rsid w:val="00197C6F"/>
    <w:rsid w:val="001B44A5"/>
    <w:rsid w:val="001C2D6C"/>
    <w:rsid w:val="001F2580"/>
    <w:rsid w:val="002124E3"/>
    <w:rsid w:val="00226164"/>
    <w:rsid w:val="0024119A"/>
    <w:rsid w:val="00273AE4"/>
    <w:rsid w:val="00287A0D"/>
    <w:rsid w:val="002A254C"/>
    <w:rsid w:val="002C05E4"/>
    <w:rsid w:val="002C5CFD"/>
    <w:rsid w:val="002F0505"/>
    <w:rsid w:val="003003EB"/>
    <w:rsid w:val="0032475E"/>
    <w:rsid w:val="003676F9"/>
    <w:rsid w:val="00395897"/>
    <w:rsid w:val="003D40C6"/>
    <w:rsid w:val="003F7F10"/>
    <w:rsid w:val="00411FC7"/>
    <w:rsid w:val="004267B6"/>
    <w:rsid w:val="004342C8"/>
    <w:rsid w:val="00454C7D"/>
    <w:rsid w:val="004669B5"/>
    <w:rsid w:val="00467148"/>
    <w:rsid w:val="00470E1A"/>
    <w:rsid w:val="00471EB3"/>
    <w:rsid w:val="00473495"/>
    <w:rsid w:val="00493158"/>
    <w:rsid w:val="00493800"/>
    <w:rsid w:val="004A00B4"/>
    <w:rsid w:val="004B15FA"/>
    <w:rsid w:val="0050124F"/>
    <w:rsid w:val="00520E18"/>
    <w:rsid w:val="00537954"/>
    <w:rsid w:val="00562D8C"/>
    <w:rsid w:val="005665A7"/>
    <w:rsid w:val="005C1D7C"/>
    <w:rsid w:val="005C6082"/>
    <w:rsid w:val="005D7C4C"/>
    <w:rsid w:val="005E6942"/>
    <w:rsid w:val="005F395D"/>
    <w:rsid w:val="0060485F"/>
    <w:rsid w:val="00622B18"/>
    <w:rsid w:val="006400C5"/>
    <w:rsid w:val="006432BE"/>
    <w:rsid w:val="00681C4F"/>
    <w:rsid w:val="006A1AAB"/>
    <w:rsid w:val="006B17E7"/>
    <w:rsid w:val="006C1667"/>
    <w:rsid w:val="006C1CA5"/>
    <w:rsid w:val="006E6F0A"/>
    <w:rsid w:val="006F0DA7"/>
    <w:rsid w:val="00717135"/>
    <w:rsid w:val="00744C98"/>
    <w:rsid w:val="00771EB7"/>
    <w:rsid w:val="00776B7C"/>
    <w:rsid w:val="0078408C"/>
    <w:rsid w:val="00784993"/>
    <w:rsid w:val="00791760"/>
    <w:rsid w:val="007966D8"/>
    <w:rsid w:val="007D1676"/>
    <w:rsid w:val="0080077F"/>
    <w:rsid w:val="008072C1"/>
    <w:rsid w:val="008159BA"/>
    <w:rsid w:val="00820040"/>
    <w:rsid w:val="0087555F"/>
    <w:rsid w:val="00880F9F"/>
    <w:rsid w:val="00887FAA"/>
    <w:rsid w:val="00896E4F"/>
    <w:rsid w:val="008A0FB1"/>
    <w:rsid w:val="008B3DF9"/>
    <w:rsid w:val="008B5E4D"/>
    <w:rsid w:val="008D6033"/>
    <w:rsid w:val="008E4681"/>
    <w:rsid w:val="00901A9A"/>
    <w:rsid w:val="009057C9"/>
    <w:rsid w:val="00910B86"/>
    <w:rsid w:val="009169C5"/>
    <w:rsid w:val="00917EA2"/>
    <w:rsid w:val="00942B8B"/>
    <w:rsid w:val="00951DDF"/>
    <w:rsid w:val="009530EF"/>
    <w:rsid w:val="00964759"/>
    <w:rsid w:val="009943AC"/>
    <w:rsid w:val="009D3027"/>
    <w:rsid w:val="009F7209"/>
    <w:rsid w:val="00A159B8"/>
    <w:rsid w:val="00A31DA6"/>
    <w:rsid w:val="00A54F19"/>
    <w:rsid w:val="00A57343"/>
    <w:rsid w:val="00A65C65"/>
    <w:rsid w:val="00A7303E"/>
    <w:rsid w:val="00A73426"/>
    <w:rsid w:val="00AA54F2"/>
    <w:rsid w:val="00AB25F3"/>
    <w:rsid w:val="00AB54F5"/>
    <w:rsid w:val="00AC45CD"/>
    <w:rsid w:val="00B0724D"/>
    <w:rsid w:val="00B16C92"/>
    <w:rsid w:val="00B22189"/>
    <w:rsid w:val="00B648E1"/>
    <w:rsid w:val="00B65D07"/>
    <w:rsid w:val="00B85FE3"/>
    <w:rsid w:val="00BC1F2F"/>
    <w:rsid w:val="00BD331E"/>
    <w:rsid w:val="00BD37AA"/>
    <w:rsid w:val="00BF4B50"/>
    <w:rsid w:val="00C07412"/>
    <w:rsid w:val="00C417B8"/>
    <w:rsid w:val="00C574D2"/>
    <w:rsid w:val="00C82C29"/>
    <w:rsid w:val="00CA0A53"/>
    <w:rsid w:val="00CA1C4A"/>
    <w:rsid w:val="00CA4CDD"/>
    <w:rsid w:val="00CC36D0"/>
    <w:rsid w:val="00CC5157"/>
    <w:rsid w:val="00D040FE"/>
    <w:rsid w:val="00D92C41"/>
    <w:rsid w:val="00D94EAB"/>
    <w:rsid w:val="00D97E70"/>
    <w:rsid w:val="00DB07F1"/>
    <w:rsid w:val="00DC5C77"/>
    <w:rsid w:val="00DC7F6F"/>
    <w:rsid w:val="00DD6CC6"/>
    <w:rsid w:val="00DE5580"/>
    <w:rsid w:val="00DF0291"/>
    <w:rsid w:val="00E43E1E"/>
    <w:rsid w:val="00E476D8"/>
    <w:rsid w:val="00E63D16"/>
    <w:rsid w:val="00E969CD"/>
    <w:rsid w:val="00EA53FA"/>
    <w:rsid w:val="00EC631E"/>
    <w:rsid w:val="00ED0123"/>
    <w:rsid w:val="00ED727C"/>
    <w:rsid w:val="00EE1659"/>
    <w:rsid w:val="00EE23BA"/>
    <w:rsid w:val="00EE3FAC"/>
    <w:rsid w:val="00F023AB"/>
    <w:rsid w:val="00F117C8"/>
    <w:rsid w:val="00F17104"/>
    <w:rsid w:val="00F53A04"/>
    <w:rsid w:val="00F74AFD"/>
    <w:rsid w:val="00F762CD"/>
    <w:rsid w:val="00F808C9"/>
    <w:rsid w:val="00F96614"/>
    <w:rsid w:val="00FA14B5"/>
    <w:rsid w:val="00FD4BB6"/>
    <w:rsid w:val="00FD61C6"/>
    <w:rsid w:val="00FE3072"/>
    <w:rsid w:val="4BC400E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4"/>
      <w:szCs w:val="24"/>
      <w:lang w:val="en-US" w:eastAsia="en-US" w:bidi="ar-SA"/>
    </w:rPr>
  </w:style>
  <w:style w:type="paragraph" w:styleId="2">
    <w:name w:val="heading 1"/>
    <w:basedOn w:val="1"/>
    <w:next w:val="1"/>
    <w:link w:val="23"/>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24"/>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5"/>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character" w:default="1" w:styleId="5">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after="200"/>
    </w:pPr>
    <w:rPr>
      <w:i/>
      <w:iCs/>
      <w:color w:val="1F497D" w:themeColor="text2"/>
      <w:sz w:val="18"/>
      <w:szCs w:val="18"/>
      <w14:textFill>
        <w14:solidFill>
          <w14:schemeClr w14:val="tx2"/>
        </w14:solidFill>
      </w14:textFill>
    </w:rPr>
  </w:style>
  <w:style w:type="paragraph" w:styleId="8">
    <w:name w:val="footer"/>
    <w:basedOn w:val="1"/>
    <w:link w:val="22"/>
    <w:unhideWhenUsed/>
    <w:uiPriority w:val="99"/>
    <w:pPr>
      <w:tabs>
        <w:tab w:val="center" w:pos="4680"/>
        <w:tab w:val="right" w:pos="9360"/>
      </w:tabs>
    </w:pPr>
  </w:style>
  <w:style w:type="paragraph" w:styleId="9">
    <w:name w:val="header"/>
    <w:basedOn w:val="1"/>
    <w:link w:val="21"/>
    <w:unhideWhenUsed/>
    <w:uiPriority w:val="99"/>
    <w:pPr>
      <w:tabs>
        <w:tab w:val="center" w:pos="4680"/>
        <w:tab w:val="right" w:pos="9360"/>
      </w:tabs>
    </w:pPr>
  </w:style>
  <w:style w:type="character" w:styleId="10">
    <w:name w:val="Hyperlink"/>
    <w:basedOn w:val="5"/>
    <w:unhideWhenUsed/>
    <w:qFormat/>
    <w:uiPriority w:val="99"/>
    <w:rPr>
      <w:color w:val="0000FF" w:themeColor="hyperlink"/>
      <w:u w:val="single"/>
      <w14:textFill>
        <w14:solidFill>
          <w14:schemeClr w14:val="hlink"/>
        </w14:solidFill>
      </w14:textFill>
    </w:rPr>
  </w:style>
  <w:style w:type="table" w:styleId="11">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next w:val="1"/>
    <w:link w:val="26"/>
    <w:qFormat/>
    <w:uiPriority w:val="10"/>
    <w:pPr>
      <w:contextualSpacing/>
    </w:pPr>
    <w:rPr>
      <w:rFonts w:asciiTheme="majorHAnsi" w:hAnsiTheme="majorHAnsi" w:eastAsiaTheme="majorEastAsia" w:cstheme="majorBidi"/>
      <w:spacing w:val="-10"/>
      <w:kern w:val="28"/>
      <w:sz w:val="56"/>
      <w:szCs w:val="56"/>
    </w:rPr>
  </w:style>
  <w:style w:type="paragraph" w:styleId="13">
    <w:name w:val="toc 1"/>
    <w:basedOn w:val="1"/>
    <w:next w:val="1"/>
    <w:unhideWhenUsed/>
    <w:qFormat/>
    <w:uiPriority w:val="39"/>
    <w:pPr>
      <w:spacing w:after="100"/>
    </w:pPr>
  </w:style>
  <w:style w:type="paragraph" w:styleId="14">
    <w:name w:val="toc 2"/>
    <w:basedOn w:val="1"/>
    <w:next w:val="1"/>
    <w:unhideWhenUsed/>
    <w:qFormat/>
    <w:uiPriority w:val="39"/>
    <w:pPr>
      <w:spacing w:after="100"/>
      <w:ind w:left="240"/>
    </w:pPr>
  </w:style>
  <w:style w:type="paragraph" w:styleId="15">
    <w:name w:val="toc 3"/>
    <w:basedOn w:val="1"/>
    <w:next w:val="1"/>
    <w:unhideWhenUsed/>
    <w:qFormat/>
    <w:uiPriority w:val="39"/>
    <w:pPr>
      <w:spacing w:after="100"/>
      <w:ind w:left="480"/>
    </w:pPr>
  </w:style>
  <w:style w:type="paragraph" w:customStyle="1" w:styleId="16">
    <w:name w:val="Body A"/>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Neue" w:hAnsi="Helvetica Neue" w:eastAsia="Arial Unicode MS" w:cs="Arial Unicode MS"/>
      <w:color w:val="000000"/>
      <w:sz w:val="22"/>
      <w:szCs w:val="22"/>
      <w:u w:color="000000"/>
      <w:lang w:val="en-US" w:eastAsia="en-GB" w:bidi="ar-SA"/>
    </w:rPr>
  </w:style>
  <w:style w:type="paragraph" w:customStyle="1" w:styleId="17">
    <w:name w:val="Body B"/>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GB" w:bidi="ar-SA"/>
    </w:rPr>
  </w:style>
  <w:style w:type="paragraph" w:customStyle="1" w:styleId="18">
    <w:name w:val="Body B A"/>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Times New Roman" w:cs="Times New Roman"/>
      <w:color w:val="000000"/>
      <w:sz w:val="24"/>
      <w:szCs w:val="24"/>
      <w:u w:color="000000"/>
      <w:lang w:val="en-US" w:eastAsia="en-GB" w:bidi="ar-SA"/>
    </w:rPr>
  </w:style>
  <w:style w:type="paragraph" w:customStyle="1" w:styleId="19">
    <w:name w:val="Defaul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Neue" w:hAnsi="Helvetica Neue" w:eastAsia="Helvetica Neue" w:cs="Helvetica Neue"/>
      <w:color w:val="000000"/>
      <w:sz w:val="22"/>
      <w:szCs w:val="22"/>
      <w:u w:color="000000"/>
      <w:lang w:val="en-US" w:eastAsia="en-GB" w:bidi="ar-SA"/>
    </w:rPr>
  </w:style>
  <w:style w:type="paragraph" w:customStyle="1" w:styleId="20">
    <w:name w:val="Body C"/>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GB" w:bidi="ar-SA"/>
    </w:rPr>
  </w:style>
  <w:style w:type="character" w:customStyle="1" w:styleId="21">
    <w:name w:val="Header Char"/>
    <w:basedOn w:val="5"/>
    <w:link w:val="9"/>
    <w:uiPriority w:val="99"/>
    <w:rPr>
      <w:rFonts w:ascii="Times New Roman" w:hAnsi="Times New Roman" w:eastAsia="Arial Unicode MS" w:cs="Times New Roman"/>
      <w:sz w:val="24"/>
      <w:szCs w:val="24"/>
      <w:lang w:val="en-US"/>
    </w:rPr>
  </w:style>
  <w:style w:type="character" w:customStyle="1" w:styleId="22">
    <w:name w:val="Footer Char"/>
    <w:basedOn w:val="5"/>
    <w:link w:val="8"/>
    <w:uiPriority w:val="99"/>
    <w:rPr>
      <w:rFonts w:ascii="Times New Roman" w:hAnsi="Times New Roman" w:eastAsia="Arial Unicode MS" w:cs="Times New Roman"/>
      <w:sz w:val="24"/>
      <w:szCs w:val="24"/>
      <w:lang w:val="en-US"/>
    </w:rPr>
  </w:style>
  <w:style w:type="character" w:customStyle="1" w:styleId="23">
    <w:name w:val="Heading 1 Char"/>
    <w:basedOn w:val="5"/>
    <w:link w:val="2"/>
    <w:uiPriority w:val="9"/>
    <w:rPr>
      <w:rFonts w:asciiTheme="majorHAnsi" w:hAnsiTheme="majorHAnsi" w:eastAsiaTheme="majorEastAsia" w:cstheme="majorBidi"/>
      <w:color w:val="376092" w:themeColor="accent1" w:themeShade="BF"/>
      <w:sz w:val="32"/>
      <w:szCs w:val="32"/>
      <w:lang w:val="en-US"/>
    </w:rPr>
  </w:style>
  <w:style w:type="character" w:customStyle="1" w:styleId="24">
    <w:name w:val="Heading 2 Char"/>
    <w:basedOn w:val="5"/>
    <w:link w:val="3"/>
    <w:uiPriority w:val="9"/>
    <w:rPr>
      <w:rFonts w:asciiTheme="majorHAnsi" w:hAnsiTheme="majorHAnsi" w:eastAsiaTheme="majorEastAsia" w:cstheme="majorBidi"/>
      <w:color w:val="376092" w:themeColor="accent1" w:themeShade="BF"/>
      <w:sz w:val="26"/>
      <w:szCs w:val="26"/>
      <w:lang w:val="en-US"/>
    </w:rPr>
  </w:style>
  <w:style w:type="character" w:customStyle="1" w:styleId="25">
    <w:name w:val="Heading 3 Char"/>
    <w:basedOn w:val="5"/>
    <w:link w:val="4"/>
    <w:uiPriority w:val="9"/>
    <w:rPr>
      <w:rFonts w:asciiTheme="majorHAnsi" w:hAnsiTheme="majorHAnsi" w:eastAsiaTheme="majorEastAsia" w:cstheme="majorBidi"/>
      <w:color w:val="254061" w:themeColor="accent1" w:themeShade="80"/>
      <w:sz w:val="24"/>
      <w:szCs w:val="24"/>
      <w:lang w:val="en-US"/>
    </w:rPr>
  </w:style>
  <w:style w:type="character" w:customStyle="1" w:styleId="26">
    <w:name w:val="Title Char"/>
    <w:basedOn w:val="5"/>
    <w:link w:val="12"/>
    <w:uiPriority w:val="10"/>
    <w:rPr>
      <w:rFonts w:asciiTheme="majorHAnsi" w:hAnsiTheme="majorHAnsi" w:eastAsiaTheme="majorEastAsia" w:cstheme="majorBidi"/>
      <w:spacing w:val="-10"/>
      <w:kern w:val="28"/>
      <w:sz w:val="56"/>
      <w:szCs w:val="56"/>
      <w:lang w:val="en-US"/>
    </w:rPr>
  </w:style>
  <w:style w:type="paragraph" w:customStyle="1" w:styleId="27">
    <w:name w:val="TOC Heading"/>
    <w:basedOn w:val="2"/>
    <w:next w:val="1"/>
    <w:unhideWhenUsed/>
    <w:qFormat/>
    <w:uiPriority w:val="39"/>
    <w:pPr>
      <w:pBdr>
        <w:top w:val="none" w:color="auto" w:sz="0" w:space="0"/>
        <w:left w:val="none" w:color="auto" w:sz="0" w:space="0"/>
        <w:bottom w:val="none" w:color="auto" w:sz="0" w:space="0"/>
        <w:right w:val="none" w:color="auto" w:sz="0" w:space="0"/>
        <w:between w:val="none" w:color="auto" w:sz="0" w:space="0"/>
      </w:pBdr>
      <w:spacing w:line="259" w:lineRule="auto"/>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E21B0-F336-40D5-ABD3-CAFFF037C5F9}">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1358</Words>
  <Characters>7745</Characters>
  <Lines>64</Lines>
  <Paragraphs>18</Paragraphs>
  <TotalTime>94</TotalTime>
  <ScaleCrop>false</ScaleCrop>
  <LinksUpToDate>false</LinksUpToDate>
  <CharactersWithSpaces>9085</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2018-12-03T12:28:00Z</dcterms:created>
  <dc:creator>vivienne prudden</dc:creator>
  <cp:lastModifiedBy>Ashington Waweru</cp:lastModifiedBy>
  <dcterms:modified xsi:type="dcterms:W3CDTF">2021-05-05T09:48:32Z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