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4E" w:rsidRPr="00A61323" w:rsidRDefault="00A61323" w:rsidP="00E06D7F">
      <w:pPr>
        <w:pStyle w:val="Heading1"/>
        <w:rPr>
          <w:sz w:val="36"/>
        </w:rPr>
      </w:pPr>
      <w:r>
        <w:rPr>
          <w:sz w:val="36"/>
        </w:rPr>
        <w:t>STAR</w:t>
      </w:r>
      <w:r w:rsidRPr="00A61323">
        <w:rPr>
          <w:sz w:val="36"/>
        </w:rPr>
        <w:t xml:space="preserve"> LIGHT</w:t>
      </w:r>
    </w:p>
    <w:p w:rsidR="00C85BE4" w:rsidRPr="00E06D7F" w:rsidRDefault="00C85BE4" w:rsidP="00E06D7F">
      <w:pPr>
        <w:pStyle w:val="Heading1"/>
      </w:pPr>
      <w:r w:rsidRPr="00E06D7F">
        <w:t>INVESTMENT CLUB</w:t>
      </w:r>
      <w:r w:rsidRPr="00E06D7F">
        <w:br/>
        <w:t>B</w:t>
      </w:r>
      <w:r w:rsidR="00801DE3" w:rsidRPr="00E06D7F">
        <w:t>YLAWS</w:t>
      </w:r>
    </w:p>
    <w:p w:rsidR="00C85BE4" w:rsidRPr="00E06D7F" w:rsidRDefault="00C85BE4" w:rsidP="00381E17">
      <w:pPr>
        <w:pStyle w:val="BodyText"/>
      </w:pPr>
      <w:r w:rsidRPr="00E06D7F">
        <w:t>Provisions of the Bylaws shall not be in conflict with the Partnership Agreement.</w:t>
      </w:r>
    </w:p>
    <w:p w:rsidR="00051F04" w:rsidRPr="00E06D7F" w:rsidRDefault="00051F04" w:rsidP="00E06D7F">
      <w:pPr>
        <w:pStyle w:val="Heading2"/>
      </w:pPr>
      <w:smartTag w:uri="urn:schemas-microsoft-com:office:smarttags" w:element="place">
        <w:smartTag w:uri="urn:schemas:contacts" w:element="Sn">
          <w:r w:rsidRPr="00E06D7F">
            <w:t>Article</w:t>
          </w:r>
        </w:smartTag>
        <w:r w:rsidRPr="00E06D7F">
          <w:t xml:space="preserve"> </w:t>
        </w:r>
        <w:smartTag w:uri="urn:schemas:contacts" w:element="Sn">
          <w:r w:rsidRPr="00E06D7F">
            <w:t>I.</w:t>
          </w:r>
        </w:smartTag>
      </w:smartTag>
      <w:r w:rsidRPr="00E06D7F">
        <w:t xml:space="preserve"> Purpose</w:t>
      </w:r>
    </w:p>
    <w:p w:rsidR="00051F04" w:rsidRPr="00E06D7F" w:rsidRDefault="00051F04" w:rsidP="00381E17">
      <w:pPr>
        <w:pStyle w:val="BodyText"/>
      </w:pPr>
      <w:r w:rsidRPr="00E06D7F">
        <w:t xml:space="preserve">To invest the assets of the Partnership in stocks, bonds, and securities for the financial and educational benefit of the </w:t>
      </w:r>
      <w:r w:rsidR="00C02A16" w:rsidRPr="00E06D7F">
        <w:t>P</w:t>
      </w:r>
      <w:r w:rsidRPr="00E06D7F">
        <w:t>artners, while employing fundamental principles and techniques of sound investment practices.</w:t>
      </w:r>
    </w:p>
    <w:p w:rsidR="00051F04" w:rsidRPr="00E06D7F" w:rsidRDefault="00051F04" w:rsidP="00E06D7F">
      <w:pPr>
        <w:pStyle w:val="Heading2"/>
      </w:pPr>
      <w:r w:rsidRPr="00E06D7F">
        <w:t xml:space="preserve">Article </w:t>
      </w:r>
      <w:r w:rsidR="0043757C" w:rsidRPr="00E06D7F">
        <w:t>II</w:t>
      </w:r>
      <w:r w:rsidRPr="00E06D7F">
        <w:t xml:space="preserve">. Meetings </w:t>
      </w:r>
      <w:r w:rsidR="00A919C9" w:rsidRPr="00E06D7F">
        <w:t>(Regular, Special, Quorum)</w:t>
      </w:r>
    </w:p>
    <w:p w:rsidR="00051F04" w:rsidRPr="00E06D7F" w:rsidRDefault="00051F04" w:rsidP="00D838E7">
      <w:pPr>
        <w:pStyle w:val="ListBullet2"/>
      </w:pPr>
      <w:r w:rsidRPr="00E06D7F">
        <w:t xml:space="preserve">Meetings will be held </w:t>
      </w:r>
      <w:r w:rsidR="00A919C9" w:rsidRPr="00E06D7F">
        <w:t xml:space="preserve">the </w:t>
      </w:r>
      <w:r w:rsidR="00647A23" w:rsidRPr="00E06D7F">
        <w:t>third</w:t>
      </w:r>
      <w:r w:rsidR="00506A66" w:rsidRPr="00E06D7F">
        <w:t xml:space="preserve"> </w:t>
      </w:r>
      <w:r w:rsidR="00A3476C" w:rsidRPr="00A3476C">
        <w:rPr>
          <w:b/>
        </w:rPr>
        <w:t>Sunday</w:t>
      </w:r>
      <w:r w:rsidR="00A919C9" w:rsidRPr="00A3476C">
        <w:rPr>
          <w:b/>
        </w:rPr>
        <w:t xml:space="preserve"> </w:t>
      </w:r>
      <w:r w:rsidR="00A919C9" w:rsidRPr="00E06D7F">
        <w:t>of each month</w:t>
      </w:r>
      <w:r w:rsidRPr="00E06D7F">
        <w:t xml:space="preserve"> and at other times as deemed necessary. Meetings may be canceled or rescheduled by a majority vote of all </w:t>
      </w:r>
      <w:r w:rsidR="00FA1BDF" w:rsidRPr="00E06D7F">
        <w:t>P</w:t>
      </w:r>
      <w:r w:rsidRPr="00E06D7F">
        <w:t>artners present in a quorum at a given meeting.</w:t>
      </w:r>
    </w:p>
    <w:p w:rsidR="00051F04" w:rsidRPr="00E06D7F" w:rsidRDefault="00051F04" w:rsidP="00D838E7">
      <w:pPr>
        <w:pStyle w:val="ListBullet2"/>
      </w:pPr>
      <w:r w:rsidRPr="00E06D7F">
        <w:t xml:space="preserve">Time of meeting shall be from </w:t>
      </w:r>
      <w:r w:rsidR="00A3476C" w:rsidRPr="00A3476C">
        <w:rPr>
          <w:b/>
        </w:rPr>
        <w:t>9:00 am</w:t>
      </w:r>
      <w:r w:rsidR="00647A23" w:rsidRPr="00E06D7F">
        <w:t xml:space="preserve"> </w:t>
      </w:r>
      <w:r w:rsidR="00A61323" w:rsidRPr="00E06D7F">
        <w:t>to</w:t>
      </w:r>
      <w:r w:rsidR="00A3476C">
        <w:t xml:space="preserve"> </w:t>
      </w:r>
      <w:r w:rsidR="00A3476C" w:rsidRPr="00A3476C">
        <w:rPr>
          <w:b/>
        </w:rPr>
        <w:t>12:00 pm</w:t>
      </w:r>
      <w:r w:rsidR="00647A23" w:rsidRPr="00E06D7F">
        <w:t>.</w:t>
      </w:r>
    </w:p>
    <w:p w:rsidR="00051F04" w:rsidRPr="00E06D7F" w:rsidRDefault="00051F04" w:rsidP="00D838E7">
      <w:pPr>
        <w:pStyle w:val="ListBullet2"/>
      </w:pPr>
      <w:r w:rsidRPr="00E06D7F">
        <w:t>In the month of</w:t>
      </w:r>
      <w:r w:rsidR="00647A23" w:rsidRPr="00E06D7F">
        <w:t xml:space="preserve"> </w:t>
      </w:r>
      <w:r w:rsidR="00A3476C" w:rsidRPr="00A3476C">
        <w:rPr>
          <w:b/>
        </w:rPr>
        <w:t>December</w:t>
      </w:r>
      <w:r w:rsidRPr="00E06D7F">
        <w:t xml:space="preserve">, the </w:t>
      </w:r>
      <w:r w:rsidR="00DA6DDD" w:rsidRPr="00E06D7F">
        <w:t>A</w:t>
      </w:r>
      <w:r w:rsidRPr="00E06D7F">
        <w:t xml:space="preserve">nnual </w:t>
      </w:r>
      <w:r w:rsidR="00DA6DDD" w:rsidRPr="00E06D7F">
        <w:t>M</w:t>
      </w:r>
      <w:r w:rsidRPr="00E06D7F">
        <w:t>eeting shall be held in conjunction with the regular business meeting</w:t>
      </w:r>
      <w:r w:rsidR="00170CD5" w:rsidRPr="00E06D7F">
        <w:t>,</w:t>
      </w:r>
      <w:r w:rsidRPr="00E06D7F">
        <w:t xml:space="preserve"> at which time new officers will be elected and a full and complete </w:t>
      </w:r>
      <w:r w:rsidR="00C02A16" w:rsidRPr="00E06D7F">
        <w:t>A</w:t>
      </w:r>
      <w:r w:rsidRPr="00E06D7F">
        <w:t xml:space="preserve">nnual </w:t>
      </w:r>
      <w:r w:rsidR="00C02A16" w:rsidRPr="00E06D7F">
        <w:t>A</w:t>
      </w:r>
      <w:r w:rsidRPr="00E06D7F">
        <w:t xml:space="preserve">ccounting of the financial condition of the Partnership shall be made to the </w:t>
      </w:r>
      <w:r w:rsidR="00FA1BDF" w:rsidRPr="00E06D7F">
        <w:t>P</w:t>
      </w:r>
      <w:r w:rsidRPr="00E06D7F">
        <w:t>artners.</w:t>
      </w:r>
    </w:p>
    <w:p w:rsidR="00051F04" w:rsidRPr="00E06D7F" w:rsidRDefault="00051F04" w:rsidP="00D838E7">
      <w:pPr>
        <w:pStyle w:val="ListBullet2"/>
      </w:pPr>
      <w:r w:rsidRPr="00E06D7F">
        <w:t xml:space="preserve">Special meetings may be called at any time by the Presiding Partner. Also, any </w:t>
      </w:r>
      <w:r w:rsidR="00A3476C">
        <w:t>5</w:t>
      </w:r>
      <w:r w:rsidR="00647A23" w:rsidRPr="00E06D7F">
        <w:t xml:space="preserve"> </w:t>
      </w:r>
      <w:r w:rsidR="00FA1BDF" w:rsidRPr="00E06D7F">
        <w:t>P</w:t>
      </w:r>
      <w:r w:rsidRPr="00E06D7F">
        <w:t xml:space="preserve">artners may request a special meeting through the Presiding Partner, in writing. In all cases, special meetings shall be limited to the stated purpose, which must be communicated in advance to all </w:t>
      </w:r>
      <w:r w:rsidR="00FA1BDF" w:rsidRPr="00E06D7F">
        <w:t>P</w:t>
      </w:r>
      <w:r w:rsidR="001F16C9">
        <w:t>artners.</w:t>
      </w:r>
    </w:p>
    <w:p w:rsidR="00051F04" w:rsidRPr="00E06D7F" w:rsidRDefault="00051F04" w:rsidP="00D838E7">
      <w:pPr>
        <w:pStyle w:val="ListBullet2"/>
      </w:pPr>
      <w:r w:rsidRPr="00E06D7F">
        <w:t xml:space="preserve">A quorum of </w:t>
      </w:r>
      <w:r w:rsidR="00A3476C">
        <w:t>5</w:t>
      </w:r>
      <w:r w:rsidR="001D068D" w:rsidRPr="00E06D7F">
        <w:t xml:space="preserve"> </w:t>
      </w:r>
      <w:r w:rsidR="00FA1BDF" w:rsidRPr="00E06D7F">
        <w:t>P</w:t>
      </w:r>
      <w:r w:rsidRPr="00E06D7F">
        <w:t xml:space="preserve">artners shall be present at any regular or special meeting in order for Partnership business to be conducted, e.g., buy or sell orders. A majority </w:t>
      </w:r>
      <w:r w:rsidR="00AD2D4E" w:rsidRPr="00E06D7F">
        <w:t xml:space="preserve">vote of the Partners present </w:t>
      </w:r>
      <w:r w:rsidRPr="00E06D7F">
        <w:t>is needed to approve any Partnership business not otherwise specified in the Bylaws herein.</w:t>
      </w:r>
    </w:p>
    <w:p w:rsidR="00051F04" w:rsidRPr="00E06D7F" w:rsidRDefault="00051F04" w:rsidP="00D838E7">
      <w:pPr>
        <w:pStyle w:val="ListBullet2"/>
      </w:pPr>
      <w:r w:rsidRPr="00E06D7F">
        <w:t xml:space="preserve">A majority of Partners shall be present at any regular, special, or </w:t>
      </w:r>
      <w:r w:rsidR="00170CD5" w:rsidRPr="00E06D7F">
        <w:t>A</w:t>
      </w:r>
      <w:r w:rsidRPr="00E06D7F">
        <w:t xml:space="preserve">nnual </w:t>
      </w:r>
      <w:r w:rsidR="00170CD5" w:rsidRPr="00E06D7F">
        <w:t>M</w:t>
      </w:r>
      <w:r w:rsidRPr="00E06D7F">
        <w:t xml:space="preserve">eeting </w:t>
      </w:r>
      <w:r w:rsidR="003946E2">
        <w:t>before the election of officers</w:t>
      </w:r>
      <w:r w:rsidRPr="00E06D7F">
        <w:t xml:space="preserve"> </w:t>
      </w:r>
      <w:r w:rsidR="003946E2">
        <w:t xml:space="preserve">or </w:t>
      </w:r>
      <w:r w:rsidRPr="00E06D7F">
        <w:t xml:space="preserve">amendments to the Partnership Agreement or Partnership Bylaws can commence. A majority </w:t>
      </w:r>
      <w:r w:rsidR="00AD2D4E" w:rsidRPr="00E06D7F">
        <w:t xml:space="preserve">vote </w:t>
      </w:r>
      <w:r w:rsidRPr="00E06D7F">
        <w:t xml:space="preserve">of the </w:t>
      </w:r>
      <w:r w:rsidR="00FA1BDF" w:rsidRPr="00E06D7F">
        <w:t>P</w:t>
      </w:r>
      <w:r w:rsidRPr="00E06D7F">
        <w:t>artners present is needed to approve amendmen</w:t>
      </w:r>
      <w:r w:rsidR="00DA6DDD" w:rsidRPr="00E06D7F">
        <w:t>ts to the Partnership Agreement or</w:t>
      </w:r>
      <w:r w:rsidRPr="00E06D7F">
        <w:t xml:space="preserve"> Bylaws, or </w:t>
      </w:r>
      <w:r w:rsidR="00DA6DDD" w:rsidRPr="00E06D7F">
        <w:t xml:space="preserve">to </w:t>
      </w:r>
      <w:r w:rsidRPr="00E06D7F">
        <w:t>elect officers.</w:t>
      </w:r>
    </w:p>
    <w:p w:rsidR="00051F04" w:rsidRPr="00E06D7F" w:rsidRDefault="00051F04" w:rsidP="00D838E7">
      <w:pPr>
        <w:pStyle w:val="ListBullet2"/>
      </w:pPr>
      <w:r w:rsidRPr="00E06D7F">
        <w:t xml:space="preserve">Each </w:t>
      </w:r>
      <w:r w:rsidR="00FA1BDF" w:rsidRPr="00E06D7F">
        <w:t>P</w:t>
      </w:r>
      <w:r w:rsidRPr="00E06D7F">
        <w:t>artner shall have one vote in all matters regardless of his capital account balance.</w:t>
      </w:r>
    </w:p>
    <w:p w:rsidR="00051F04" w:rsidRPr="00E06D7F" w:rsidRDefault="00051F04" w:rsidP="00D838E7">
      <w:pPr>
        <w:pStyle w:val="ListBullet2"/>
      </w:pPr>
      <w:r w:rsidRPr="00E06D7F">
        <w:t xml:space="preserve">Any </w:t>
      </w:r>
      <w:r w:rsidR="00FA1BDF" w:rsidRPr="00E06D7F">
        <w:t>P</w:t>
      </w:r>
      <w:r w:rsidRPr="00E06D7F">
        <w:t xml:space="preserve">artner who fails to attend </w:t>
      </w:r>
      <w:r w:rsidR="00A3476C">
        <w:t>2</w:t>
      </w:r>
      <w:r w:rsidRPr="00E06D7F">
        <w:t xml:space="preserve"> consecutive regular meetings </w:t>
      </w:r>
      <w:r w:rsidR="00DA6DDD" w:rsidRPr="00E06D7F">
        <w:t>without being</w:t>
      </w:r>
      <w:r w:rsidRPr="00E06D7F">
        <w:t xml:space="preserve"> excused by the Presiding Partner from attending, or </w:t>
      </w:r>
      <w:r w:rsidR="00DA6DDD" w:rsidRPr="00E06D7F">
        <w:t xml:space="preserve">who fails to attend </w:t>
      </w:r>
      <w:r w:rsidR="00A3476C">
        <w:t>3</w:t>
      </w:r>
      <w:r w:rsidR="001D068D" w:rsidRPr="00E06D7F">
        <w:t xml:space="preserve"> </w:t>
      </w:r>
      <w:r w:rsidRPr="00E06D7F">
        <w:t>in any twelve (12) month period, will be considered for termination.</w:t>
      </w:r>
    </w:p>
    <w:p w:rsidR="00A919C9" w:rsidRPr="00E06D7F" w:rsidRDefault="00A919C9" w:rsidP="00D838E7">
      <w:pPr>
        <w:pStyle w:val="ListBullet2"/>
      </w:pPr>
      <w:r w:rsidRPr="00E06D7F">
        <w:t xml:space="preserve">The use of written proxies is hereby permitted for those </w:t>
      </w:r>
      <w:r w:rsidR="00FA1BDF" w:rsidRPr="00E06D7F">
        <w:t>P</w:t>
      </w:r>
      <w:r w:rsidRPr="00E06D7F">
        <w:t xml:space="preserve">artners unable to attend any regular, special, or </w:t>
      </w:r>
      <w:r w:rsidR="00AD2D4E" w:rsidRPr="00E06D7F">
        <w:t>A</w:t>
      </w:r>
      <w:r w:rsidRPr="00E06D7F">
        <w:t xml:space="preserve">nnual </w:t>
      </w:r>
      <w:r w:rsidR="00AD2D4E" w:rsidRPr="00E06D7F">
        <w:t>M</w:t>
      </w:r>
      <w:r w:rsidRPr="00E06D7F">
        <w:t xml:space="preserve">eeting. A proxy vote will be counted when it pertains to a specific issue previously discussed by the </w:t>
      </w:r>
      <w:r w:rsidR="00FA1BDF" w:rsidRPr="00E06D7F">
        <w:t>P</w:t>
      </w:r>
      <w:r w:rsidRPr="00E06D7F">
        <w:t xml:space="preserve">artners, not </w:t>
      </w:r>
      <w:r w:rsidR="00AD2D4E" w:rsidRPr="00E06D7F">
        <w:t>to</w:t>
      </w:r>
      <w:r w:rsidRPr="00E06D7F">
        <w:t xml:space="preserve"> issues brought up and decided at the missed monthly meeting.</w:t>
      </w:r>
    </w:p>
    <w:p w:rsidR="00C85BE4" w:rsidRPr="00E06D7F" w:rsidRDefault="00051F04" w:rsidP="00E06D7F">
      <w:pPr>
        <w:pStyle w:val="Heading2"/>
      </w:pPr>
      <w:r w:rsidRPr="00E06D7F">
        <w:lastRenderedPageBreak/>
        <w:t xml:space="preserve">Article </w:t>
      </w:r>
      <w:r w:rsidR="0043757C" w:rsidRPr="00E06D7F">
        <w:t>III</w:t>
      </w:r>
      <w:r w:rsidR="00184FF6" w:rsidRPr="00E06D7F">
        <w:t xml:space="preserve">. Partner </w:t>
      </w:r>
      <w:r w:rsidR="00C41060" w:rsidRPr="00E06D7F">
        <w:t>P</w:t>
      </w:r>
      <w:r w:rsidR="00C85BE4" w:rsidRPr="00E06D7F">
        <w:t xml:space="preserve">ositions and </w:t>
      </w:r>
      <w:r w:rsidR="00C41060" w:rsidRPr="00E06D7F">
        <w:t>D</w:t>
      </w:r>
      <w:r w:rsidR="00C85BE4" w:rsidRPr="00E06D7F">
        <w:t>uties</w:t>
      </w:r>
    </w:p>
    <w:p w:rsidR="00C85BE4" w:rsidRPr="00E06D7F" w:rsidRDefault="00C85BE4" w:rsidP="00381E17">
      <w:pPr>
        <w:pStyle w:val="BodyText"/>
      </w:pPr>
      <w:r w:rsidRPr="00E06D7F">
        <w:t xml:space="preserve">Initially on the meeting date when the Partnership Agreement is signed, and thereafter annually at the meeting to be known as the Annual Meeting, or as needed to fill any vacancy, </w:t>
      </w:r>
      <w:r w:rsidR="00FA1BDF" w:rsidRPr="00E06D7F">
        <w:t>P</w:t>
      </w:r>
      <w:r w:rsidRPr="00E06D7F">
        <w:t xml:space="preserve">artners shall be elected by a majority vote of the </w:t>
      </w:r>
      <w:r w:rsidR="00FA1BDF" w:rsidRPr="00E06D7F">
        <w:t>P</w:t>
      </w:r>
      <w:r w:rsidRPr="00E06D7F">
        <w:t>artners present, or by appropriate proxy, to the following positions and duties:</w:t>
      </w:r>
    </w:p>
    <w:p w:rsidR="00C85BE4" w:rsidRPr="00E06D7F" w:rsidRDefault="00C85BE4" w:rsidP="00D838E7">
      <w:pPr>
        <w:pStyle w:val="ListBullet2"/>
      </w:pPr>
      <w:r w:rsidRPr="00381E17">
        <w:rPr>
          <w:rStyle w:val="Emphasis"/>
        </w:rPr>
        <w:t>Presiding Partner</w:t>
      </w:r>
      <w:r w:rsidRPr="00E06D7F">
        <w:t>:  Set</w:t>
      </w:r>
      <w:r w:rsidR="00AD2D4E" w:rsidRPr="00E06D7F">
        <w:t>s</w:t>
      </w:r>
      <w:r w:rsidRPr="00E06D7F">
        <w:t xml:space="preserve"> meeting dates and locations, appoint</w:t>
      </w:r>
      <w:r w:rsidR="00AD2D4E" w:rsidRPr="00E06D7F">
        <w:t>s</w:t>
      </w:r>
      <w:r w:rsidRPr="00E06D7F">
        <w:t xml:space="preserve"> committees, preside</w:t>
      </w:r>
      <w:r w:rsidR="00AD2D4E" w:rsidRPr="00E06D7F">
        <w:t>s</w:t>
      </w:r>
      <w:r w:rsidRPr="00E06D7F">
        <w:t xml:space="preserve"> over meetings</w:t>
      </w:r>
      <w:r w:rsidR="00AD2D4E" w:rsidRPr="00E06D7F">
        <w:t>,</w:t>
      </w:r>
      <w:r w:rsidRPr="00E06D7F">
        <w:t xml:space="preserve"> see</w:t>
      </w:r>
      <w:r w:rsidR="00AD2D4E" w:rsidRPr="00E06D7F">
        <w:t>s</w:t>
      </w:r>
      <w:r w:rsidRPr="00E06D7F">
        <w:t xml:space="preserve"> that the resolutions passed by the Partnership are carried out, a</w:t>
      </w:r>
      <w:r w:rsidR="00AD2D4E" w:rsidRPr="00E06D7F">
        <w:t>nd</w:t>
      </w:r>
      <w:r w:rsidRPr="00E06D7F">
        <w:t xml:space="preserve"> develop</w:t>
      </w:r>
      <w:r w:rsidR="00AD2D4E" w:rsidRPr="00E06D7F">
        <w:t>s</w:t>
      </w:r>
      <w:r w:rsidRPr="00E06D7F">
        <w:t xml:space="preserve"> the educational program for the </w:t>
      </w:r>
      <w:r w:rsidR="00FA1BDF" w:rsidRPr="00E06D7F">
        <w:t>P</w:t>
      </w:r>
      <w:r w:rsidRPr="00E06D7F">
        <w:t>artners.</w:t>
      </w:r>
    </w:p>
    <w:p w:rsidR="00C85BE4" w:rsidRPr="00E06D7F" w:rsidRDefault="00C85BE4" w:rsidP="00D838E7">
      <w:pPr>
        <w:pStyle w:val="ListBullet2"/>
      </w:pPr>
      <w:r w:rsidRPr="00381E17">
        <w:rPr>
          <w:rStyle w:val="Emphasis"/>
        </w:rPr>
        <w:t>Assistant Presiding Partner</w:t>
      </w:r>
      <w:r w:rsidRPr="00E06D7F">
        <w:t>:  Take</w:t>
      </w:r>
      <w:r w:rsidR="00AD2D4E" w:rsidRPr="00E06D7F">
        <w:t>s</w:t>
      </w:r>
      <w:r w:rsidRPr="00E06D7F">
        <w:t xml:space="preserve"> the place of the Presiding Partner when he is absent or incapacitated.</w:t>
      </w:r>
    </w:p>
    <w:p w:rsidR="00C85BE4" w:rsidRPr="00E06D7F" w:rsidRDefault="00C85BE4" w:rsidP="00D838E7">
      <w:pPr>
        <w:pStyle w:val="ListBullet2"/>
      </w:pPr>
      <w:r w:rsidRPr="00381E17">
        <w:rPr>
          <w:rStyle w:val="Emphasis"/>
        </w:rPr>
        <w:t>Recording Partner</w:t>
      </w:r>
      <w:r w:rsidRPr="00E06D7F">
        <w:t>:  Keep</w:t>
      </w:r>
      <w:r w:rsidR="00AD2D4E" w:rsidRPr="00E06D7F">
        <w:t>s</w:t>
      </w:r>
      <w:r w:rsidRPr="00E06D7F">
        <w:t xml:space="preserve"> a record of the actions authorized by the </w:t>
      </w:r>
      <w:r w:rsidR="00FA1BDF" w:rsidRPr="00E06D7F">
        <w:t>P</w:t>
      </w:r>
      <w:r w:rsidRPr="00E06D7F">
        <w:t>artners</w:t>
      </w:r>
      <w:r w:rsidR="00DA6DDD" w:rsidRPr="00E06D7F">
        <w:t>,</w:t>
      </w:r>
      <w:r w:rsidRPr="00E06D7F">
        <w:t xml:space="preserve"> and notif</w:t>
      </w:r>
      <w:r w:rsidR="00AD2D4E" w:rsidRPr="00E06D7F">
        <w:t>ies</w:t>
      </w:r>
      <w:r w:rsidRPr="00E06D7F">
        <w:t xml:space="preserve"> members of meetings and activities.</w:t>
      </w:r>
    </w:p>
    <w:p w:rsidR="00C85BE4" w:rsidRPr="00E06D7F" w:rsidRDefault="00C85BE4" w:rsidP="00D838E7">
      <w:pPr>
        <w:pStyle w:val="ListBullet2"/>
      </w:pPr>
      <w:r w:rsidRPr="00381E17">
        <w:rPr>
          <w:rStyle w:val="Emphasis"/>
        </w:rPr>
        <w:t>Financial Partner</w:t>
      </w:r>
      <w:r w:rsidRPr="00E06D7F">
        <w:t>:  Keep</w:t>
      </w:r>
      <w:r w:rsidR="00AD2D4E" w:rsidRPr="00E06D7F">
        <w:t>s</w:t>
      </w:r>
      <w:r w:rsidRPr="00E06D7F">
        <w:t xml:space="preserve"> a record of the Partnership's receipts and disbursements and </w:t>
      </w:r>
      <w:r w:rsidR="00DA6DDD" w:rsidRPr="00E06D7F">
        <w:t xml:space="preserve">of </w:t>
      </w:r>
      <w:r w:rsidRPr="00E06D7F">
        <w:t>the members</w:t>
      </w:r>
      <w:r w:rsidR="00DA6DDD" w:rsidRPr="00E06D7F">
        <w:t>’</w:t>
      </w:r>
      <w:r w:rsidRPr="00E06D7F">
        <w:t xml:space="preserve"> interests in the Partnership. Place</w:t>
      </w:r>
      <w:r w:rsidR="00AD2D4E" w:rsidRPr="00E06D7F">
        <w:t>s</w:t>
      </w:r>
      <w:r w:rsidRPr="00E06D7F">
        <w:t xml:space="preserve"> the authorized Partnership buy and sell orders with the Partnership's broker</w:t>
      </w:r>
      <w:r w:rsidR="00DA6DDD" w:rsidRPr="00E06D7F">
        <w:t xml:space="preserve"> or</w:t>
      </w:r>
      <w:r w:rsidRPr="00E06D7F">
        <w:t xml:space="preserve"> transfer agent, or directly through a company, and prepare</w:t>
      </w:r>
      <w:r w:rsidR="00AD2D4E" w:rsidRPr="00E06D7F">
        <w:t>s</w:t>
      </w:r>
      <w:r w:rsidRPr="00E06D7F">
        <w:t xml:space="preserve"> the Partnershi</w:t>
      </w:r>
      <w:r w:rsidR="003946E2">
        <w:t>p's monthly Liquidation</w:t>
      </w:r>
      <w:r w:rsidRPr="00E06D7F">
        <w:t xml:space="preserve"> Value Statement.</w:t>
      </w:r>
    </w:p>
    <w:p w:rsidR="00184FF6" w:rsidRPr="00E06D7F" w:rsidRDefault="00184FF6" w:rsidP="00D838E7">
      <w:pPr>
        <w:pStyle w:val="ListBullet2"/>
      </w:pPr>
      <w:r w:rsidRPr="00381E17">
        <w:rPr>
          <w:rStyle w:val="Emphasis"/>
        </w:rPr>
        <w:t>Partner</w:t>
      </w:r>
      <w:r w:rsidRPr="00E06D7F">
        <w:t xml:space="preserve">: Has signed the Partnership </w:t>
      </w:r>
      <w:r w:rsidR="003946E2">
        <w:t>Agreement, been voted into the C</w:t>
      </w:r>
      <w:r w:rsidRPr="00E06D7F">
        <w:t>lub, and signed a statement agreeing to abide by the Partnership Agreement and Bylaws of th</w:t>
      </w:r>
      <w:r w:rsidR="00AD2D4E" w:rsidRPr="00E06D7F">
        <w:t>e</w:t>
      </w:r>
      <w:r w:rsidRPr="00E06D7F">
        <w:t xml:space="preserve"> Partnership, or </w:t>
      </w:r>
      <w:r w:rsidR="00DA6DDD" w:rsidRPr="00E06D7F">
        <w:t xml:space="preserve">is </w:t>
      </w:r>
      <w:r w:rsidRPr="00E06D7F">
        <w:t xml:space="preserve">a minor child family member </w:t>
      </w:r>
      <w:r w:rsidR="00DA6DDD" w:rsidRPr="00E06D7F">
        <w:t>who</w:t>
      </w:r>
      <w:r w:rsidRPr="00E06D7F">
        <w:t xml:space="preserve"> has a custodial account being managed by a </w:t>
      </w:r>
      <w:r w:rsidR="00FA1BDF" w:rsidRPr="00E06D7F">
        <w:t>P</w:t>
      </w:r>
      <w:r w:rsidRPr="00E06D7F">
        <w:t>artner over the age of 21.</w:t>
      </w:r>
    </w:p>
    <w:p w:rsidR="00C85BE4" w:rsidRPr="00E06D7F" w:rsidRDefault="00C85BE4" w:rsidP="00381E17">
      <w:pPr>
        <w:pStyle w:val="BodyText"/>
      </w:pPr>
      <w:r w:rsidRPr="00E06D7F">
        <w:t xml:space="preserve">Nominations </w:t>
      </w:r>
      <w:r w:rsidRPr="00381E17">
        <w:t>for</w:t>
      </w:r>
      <w:r w:rsidRPr="00E06D7F">
        <w:t xml:space="preserve"> </w:t>
      </w:r>
      <w:r w:rsidR="00184FF6" w:rsidRPr="00E06D7F">
        <w:t xml:space="preserve">officer </w:t>
      </w:r>
      <w:r w:rsidRPr="00E06D7F">
        <w:t xml:space="preserve">positions will take place in </w:t>
      </w:r>
      <w:r w:rsidR="00A3476C">
        <w:t>February</w:t>
      </w:r>
      <w:r w:rsidR="001D068D" w:rsidRPr="00E06D7F">
        <w:t xml:space="preserve"> </w:t>
      </w:r>
      <w:r w:rsidRPr="00E06D7F">
        <w:t xml:space="preserve">of each year. If </w:t>
      </w:r>
      <w:r w:rsidR="00AD2D4E" w:rsidRPr="00E06D7F">
        <w:t>absence</w:t>
      </w:r>
      <w:r w:rsidRPr="00E06D7F">
        <w:t xml:space="preserve"> </w:t>
      </w:r>
      <w:r w:rsidR="00AD2D4E" w:rsidRPr="00E06D7F">
        <w:t>from</w:t>
      </w:r>
      <w:r w:rsidRPr="00E06D7F">
        <w:t xml:space="preserve"> the </w:t>
      </w:r>
      <w:r w:rsidR="004C7E8A" w:rsidRPr="00E06D7F">
        <w:t>Annual Meeting</w:t>
      </w:r>
      <w:r w:rsidRPr="00E06D7F">
        <w:t xml:space="preserve"> is unavoidable, appropriate proxies may be submitted before the </w:t>
      </w:r>
      <w:r w:rsidR="004C7E8A" w:rsidRPr="00E06D7F">
        <w:t>Annual Meeting</w:t>
      </w:r>
      <w:r w:rsidRPr="00E06D7F">
        <w:t xml:space="preserve"> to elect </w:t>
      </w:r>
      <w:r w:rsidR="00FA1BDF" w:rsidRPr="00E06D7F">
        <w:t>P</w:t>
      </w:r>
      <w:r w:rsidRPr="00E06D7F">
        <w:t xml:space="preserve">artners to serve in </w:t>
      </w:r>
      <w:r w:rsidR="00184FF6" w:rsidRPr="00E06D7F">
        <w:t xml:space="preserve">officer </w:t>
      </w:r>
      <w:r w:rsidRPr="00E06D7F">
        <w:t>positions.</w:t>
      </w:r>
    </w:p>
    <w:p w:rsidR="0043757C" w:rsidRPr="00E06D7F" w:rsidRDefault="0043757C" w:rsidP="00E06D7F">
      <w:pPr>
        <w:pStyle w:val="Heading2"/>
      </w:pPr>
      <w:r w:rsidRPr="00E06D7F">
        <w:t xml:space="preserve">Article IV. Removal of an Officer </w:t>
      </w:r>
    </w:p>
    <w:p w:rsidR="0043757C" w:rsidRPr="00E06D7F" w:rsidRDefault="0043757C" w:rsidP="00381E17">
      <w:pPr>
        <w:pStyle w:val="BodyText"/>
      </w:pPr>
      <w:r w:rsidRPr="00E06D7F">
        <w:t>If an officer of the Partnership (Presiding Partner, Assistant Presiding Partner, Recording Partner</w:t>
      </w:r>
      <w:r w:rsidR="003946E2">
        <w:t>,</w:t>
      </w:r>
      <w:r w:rsidRPr="00E06D7F">
        <w:t xml:space="preserve"> or Financial Partner) does not fu</w:t>
      </w:r>
      <w:r w:rsidR="00C00D96" w:rsidRPr="00E06D7F">
        <w:t xml:space="preserve">lfill </w:t>
      </w:r>
      <w:r w:rsidRPr="00E06D7F">
        <w:t xml:space="preserve">duties required </w:t>
      </w:r>
      <w:r w:rsidR="00C00D96" w:rsidRPr="00E06D7F">
        <w:t>as described in Article III</w:t>
      </w:r>
      <w:r w:rsidRPr="00E06D7F">
        <w:t xml:space="preserve">, </w:t>
      </w:r>
      <w:r w:rsidR="00440041">
        <w:t>that P</w:t>
      </w:r>
      <w:r w:rsidR="003A23B9" w:rsidRPr="00E06D7F">
        <w:t>artner</w:t>
      </w:r>
      <w:r w:rsidRPr="00E06D7F">
        <w:t xml:space="preserve"> will be notified in writing of the meeting at which removal from office will be discussed and voted upon. At that meeting, </w:t>
      </w:r>
      <w:r w:rsidR="003A23B9" w:rsidRPr="00E06D7F">
        <w:t>the Partner</w:t>
      </w:r>
      <w:r w:rsidRPr="00E06D7F">
        <w:t xml:space="preserve"> </w:t>
      </w:r>
      <w:r w:rsidR="003A23B9" w:rsidRPr="00E06D7F">
        <w:t>may</w:t>
      </w:r>
      <w:r w:rsidRPr="00E06D7F">
        <w:t xml:space="preserve"> present </w:t>
      </w:r>
      <w:r w:rsidR="003A23B9" w:rsidRPr="00E06D7F">
        <w:t xml:space="preserve">statements </w:t>
      </w:r>
      <w:r w:rsidRPr="00E06D7F">
        <w:t xml:space="preserve">to the Partnership </w:t>
      </w:r>
      <w:r w:rsidR="003A23B9" w:rsidRPr="00E06D7F">
        <w:t xml:space="preserve">in an effort </w:t>
      </w:r>
      <w:r w:rsidR="00C00D96" w:rsidRPr="00E06D7F">
        <w:t>to retain the position</w:t>
      </w:r>
      <w:r w:rsidRPr="00E06D7F">
        <w:t>.</w:t>
      </w:r>
    </w:p>
    <w:p w:rsidR="0043757C" w:rsidRPr="00E06D7F" w:rsidRDefault="0043757C" w:rsidP="00381E17">
      <w:pPr>
        <w:pStyle w:val="BodyText"/>
      </w:pPr>
      <w:r w:rsidRPr="00E06D7F">
        <w:t xml:space="preserve">Removal will occur if so voted by majority of the </w:t>
      </w:r>
      <w:r w:rsidR="00FA1BDF" w:rsidRPr="00E06D7F">
        <w:t>P</w:t>
      </w:r>
      <w:r w:rsidRPr="00E06D7F">
        <w:t xml:space="preserve">artners present at the meeting or </w:t>
      </w:r>
      <w:r w:rsidR="00C00D96" w:rsidRPr="00E06D7F">
        <w:t xml:space="preserve">voting by </w:t>
      </w:r>
      <w:r w:rsidRPr="00E06D7F">
        <w:t>appropriate proxy.</w:t>
      </w:r>
    </w:p>
    <w:p w:rsidR="00C85BE4" w:rsidRPr="00E06D7F" w:rsidRDefault="00C85BE4" w:rsidP="00E06D7F">
      <w:pPr>
        <w:pStyle w:val="Heading2"/>
      </w:pPr>
      <w:r w:rsidRPr="00E06D7F">
        <w:t xml:space="preserve">Article </w:t>
      </w:r>
      <w:r w:rsidR="0043757C" w:rsidRPr="00E06D7F">
        <w:t>V</w:t>
      </w:r>
      <w:r w:rsidRPr="00E06D7F">
        <w:t>. G</w:t>
      </w:r>
      <w:r w:rsidR="00E06D7F">
        <w:t>uests</w:t>
      </w:r>
    </w:p>
    <w:p w:rsidR="00C85BE4" w:rsidRPr="00E06D7F" w:rsidRDefault="00C85BE4" w:rsidP="00381E17">
      <w:pPr>
        <w:pStyle w:val="BodyText"/>
      </w:pPr>
      <w:r w:rsidRPr="00E06D7F">
        <w:t>Partners may invite guests to any meeting of the Club.</w:t>
      </w:r>
    </w:p>
    <w:p w:rsidR="00C85BE4" w:rsidRPr="00E06D7F" w:rsidRDefault="00C85BE4" w:rsidP="00E06D7F">
      <w:pPr>
        <w:pStyle w:val="Heading2"/>
      </w:pPr>
      <w:r w:rsidRPr="00E06D7F">
        <w:t xml:space="preserve">Article </w:t>
      </w:r>
      <w:r w:rsidR="0043757C" w:rsidRPr="00E06D7F">
        <w:t>VI.</w:t>
      </w:r>
      <w:r w:rsidR="00E06D7F">
        <w:t xml:space="preserve"> Contributions</w:t>
      </w:r>
    </w:p>
    <w:p w:rsidR="00492F5F" w:rsidRPr="00E06D7F" w:rsidRDefault="00C85BE4" w:rsidP="00381E17">
      <w:pPr>
        <w:pStyle w:val="BodyText"/>
      </w:pPr>
      <w:r w:rsidRPr="00E06D7F">
        <w:t xml:space="preserve">Partners will make a minimum monthly investment of </w:t>
      </w:r>
      <w:r w:rsidR="00EA1809">
        <w:t>$3</w:t>
      </w:r>
      <w:r w:rsidR="00A3476C">
        <w:t>000</w:t>
      </w:r>
      <w:r w:rsidRPr="00E06D7F">
        <w:t xml:space="preserve"> at the regular monthly meeting. Partners may also make optional additional contributions in any </w:t>
      </w:r>
      <w:r w:rsidR="00A3476C">
        <w:t>$1000</w:t>
      </w:r>
      <w:r w:rsidR="001D068D" w:rsidRPr="00E06D7F">
        <w:t xml:space="preserve"> </w:t>
      </w:r>
      <w:r w:rsidRPr="00E06D7F">
        <w:t xml:space="preserve">increment(s). Regular monthly contributions normally collected at meetings are due prior to the scheduled meeting for any planned absence, or by the end of the third day after the meeting from anyone who was unable to attend that monthly meeting due to an </w:t>
      </w:r>
      <w:r w:rsidRPr="00E06D7F">
        <w:lastRenderedPageBreak/>
        <w:t xml:space="preserve">emergency or illness. </w:t>
      </w:r>
      <w:r w:rsidR="00440041">
        <w:t>No P</w:t>
      </w:r>
      <w:r w:rsidR="00492F5F" w:rsidRPr="00E06D7F">
        <w:t xml:space="preserve">artner's capital account shall exceed twenty percent (20%) </w:t>
      </w:r>
      <w:r w:rsidR="00440041">
        <w:t>of the capital accounts of all P</w:t>
      </w:r>
      <w:r w:rsidR="00492F5F" w:rsidRPr="00E06D7F">
        <w:t>artners.</w:t>
      </w:r>
    </w:p>
    <w:p w:rsidR="00C85BE4" w:rsidRPr="00E06D7F" w:rsidRDefault="00C85BE4" w:rsidP="00E06D7F">
      <w:pPr>
        <w:pStyle w:val="Heading2"/>
      </w:pPr>
      <w:r w:rsidRPr="00E06D7F">
        <w:t>Article</w:t>
      </w:r>
      <w:r w:rsidR="00184FF6" w:rsidRPr="00E06D7F">
        <w:t xml:space="preserve"> VII</w:t>
      </w:r>
      <w:r w:rsidRPr="00E06D7F">
        <w:t xml:space="preserve">. </w:t>
      </w:r>
      <w:r w:rsidR="00B528F0" w:rsidRPr="00E06D7F">
        <w:t xml:space="preserve">Standing Partners’ </w:t>
      </w:r>
      <w:r w:rsidR="00E06D7F">
        <w:t>Administrative Costs</w:t>
      </w:r>
    </w:p>
    <w:p w:rsidR="00C85BE4" w:rsidRPr="00E06D7F" w:rsidRDefault="00C85BE4" w:rsidP="00381E17">
      <w:pPr>
        <w:pStyle w:val="BodyText"/>
      </w:pPr>
      <w:r w:rsidRPr="00E06D7F">
        <w:t xml:space="preserve">Each Partner will contribute </w:t>
      </w:r>
      <w:r w:rsidR="00EA1809">
        <w:t>$1800</w:t>
      </w:r>
      <w:r w:rsidR="001D068D" w:rsidRPr="00E06D7F">
        <w:t xml:space="preserve"> </w:t>
      </w:r>
      <w:r w:rsidR="00440041">
        <w:t>yearly (at the C</w:t>
      </w:r>
      <w:r w:rsidRPr="00E06D7F">
        <w:t xml:space="preserve">lub's anniversary month meeting) to cover administrative costs of the Club. Any Partner maintaining a custodial account will pay </w:t>
      </w:r>
      <w:r w:rsidR="00EA1809">
        <w:t>$1800</w:t>
      </w:r>
      <w:r w:rsidR="001D068D" w:rsidRPr="00E06D7F">
        <w:t xml:space="preserve"> </w:t>
      </w:r>
      <w:r w:rsidRPr="00E06D7F">
        <w:t xml:space="preserve">yearly to cover administrative costs for the minor </w:t>
      </w:r>
      <w:r w:rsidR="00C02A16" w:rsidRPr="00E06D7F">
        <w:t>P</w:t>
      </w:r>
      <w:r w:rsidRPr="00E06D7F">
        <w:t>artner.</w:t>
      </w:r>
    </w:p>
    <w:p w:rsidR="00C85BE4" w:rsidRPr="00E06D7F" w:rsidRDefault="00C85BE4" w:rsidP="00E06D7F">
      <w:pPr>
        <w:pStyle w:val="Heading2"/>
      </w:pPr>
      <w:r w:rsidRPr="00E06D7F">
        <w:t xml:space="preserve">Article </w:t>
      </w:r>
      <w:r w:rsidR="00184FF6" w:rsidRPr="00E06D7F">
        <w:t>VIII.</w:t>
      </w:r>
      <w:r w:rsidRPr="00E06D7F">
        <w:t xml:space="preserve"> New Partners</w:t>
      </w:r>
      <w:r w:rsidR="00B528F0" w:rsidRPr="00E06D7F">
        <w:t>’</w:t>
      </w:r>
      <w:r w:rsidRPr="00E06D7F">
        <w:t xml:space="preserve"> </w:t>
      </w:r>
      <w:r w:rsidR="00B528F0" w:rsidRPr="00E06D7F">
        <w:t>Administrative Costs</w:t>
      </w:r>
    </w:p>
    <w:p w:rsidR="00C85BE4" w:rsidRPr="00E06D7F" w:rsidRDefault="00C85BE4" w:rsidP="00381E17">
      <w:pPr>
        <w:pStyle w:val="BodyText"/>
      </w:pPr>
      <w:r w:rsidRPr="00E06D7F">
        <w:t xml:space="preserve">New Partners must pay </w:t>
      </w:r>
      <w:r w:rsidR="00EA1809">
        <w:t>$900</w:t>
      </w:r>
      <w:r w:rsidR="001D068D" w:rsidRPr="00E06D7F">
        <w:t xml:space="preserve"> </w:t>
      </w:r>
      <w:r w:rsidRPr="00E06D7F">
        <w:t xml:space="preserve">yearly administrative costs at the time of joining if membership occurs </w:t>
      </w:r>
      <w:r w:rsidR="00B67EEB">
        <w:t>within six months of the C</w:t>
      </w:r>
      <w:r w:rsidR="00D017C1" w:rsidRPr="00E06D7F">
        <w:t xml:space="preserve">lub’s </w:t>
      </w:r>
      <w:r w:rsidR="00E964CB" w:rsidRPr="00E06D7F">
        <w:t xml:space="preserve">latest </w:t>
      </w:r>
      <w:r w:rsidR="00D017C1" w:rsidRPr="00E06D7F">
        <w:t>anniversary month meeting; otherwise, the</w:t>
      </w:r>
      <w:r w:rsidR="00B935DC" w:rsidRPr="00E06D7F">
        <w:t>y must pay</w:t>
      </w:r>
      <w:r w:rsidR="00EA1809">
        <w:t xml:space="preserve"> $900</w:t>
      </w:r>
      <w:r w:rsidR="00D017C1" w:rsidRPr="00E06D7F">
        <w:t>.</w:t>
      </w:r>
    </w:p>
    <w:p w:rsidR="0043757C" w:rsidRPr="00E06D7F" w:rsidRDefault="0043757C" w:rsidP="00E06D7F">
      <w:pPr>
        <w:pStyle w:val="Heading2"/>
      </w:pPr>
      <w:r w:rsidRPr="00E06D7F">
        <w:t xml:space="preserve">Article </w:t>
      </w:r>
      <w:r w:rsidR="00184FF6" w:rsidRPr="00E06D7F">
        <w:t>IX</w:t>
      </w:r>
      <w:r w:rsidRPr="00E06D7F">
        <w:t>. Trans</w:t>
      </w:r>
      <w:r w:rsidR="00E06D7F">
        <w:t>actions and Valuation Statement</w:t>
      </w:r>
    </w:p>
    <w:p w:rsidR="0043757C" w:rsidRPr="00E06D7F" w:rsidRDefault="0043757C" w:rsidP="00D838E7">
      <w:pPr>
        <w:pStyle w:val="ListBullet2"/>
      </w:pPr>
      <w:r w:rsidRPr="00381E17">
        <w:rPr>
          <w:rStyle w:val="Emphasis"/>
        </w:rPr>
        <w:t>Transactions</w:t>
      </w:r>
      <w:r w:rsidRPr="00E06D7F">
        <w:t xml:space="preserve">:  Buy or sell actions shall be made by majority vote of the </w:t>
      </w:r>
      <w:r w:rsidR="00FA1BDF" w:rsidRPr="00E06D7F">
        <w:t>P</w:t>
      </w:r>
      <w:r w:rsidRPr="00E06D7F">
        <w:t xml:space="preserve">artners present at the meeting. Any vote for such transactions will be put in the form of a motion after membership discussion at a regular meeting. Transactions between meetings cannot be made by polling </w:t>
      </w:r>
      <w:r w:rsidR="00FA1BDF" w:rsidRPr="00E06D7F">
        <w:t>P</w:t>
      </w:r>
      <w:r w:rsidRPr="00E06D7F">
        <w:t>artners. If a vote is necessary prior to the regular</w:t>
      </w:r>
      <w:r w:rsidR="00C00D96" w:rsidRPr="00E06D7F">
        <w:t>ly</w:t>
      </w:r>
      <w:r w:rsidRPr="00E06D7F">
        <w:t xml:space="preserve"> scheduled meeting, the Presiding Partner will call a special meeting of the membership.</w:t>
      </w:r>
    </w:p>
    <w:p w:rsidR="0043757C" w:rsidRPr="00E06D7F" w:rsidRDefault="0043757C" w:rsidP="00D838E7">
      <w:pPr>
        <w:pStyle w:val="ListBullet2"/>
      </w:pPr>
      <w:r w:rsidRPr="00381E17">
        <w:rPr>
          <w:rStyle w:val="Emphasis"/>
        </w:rPr>
        <w:t>Valuation Statement</w:t>
      </w:r>
      <w:r w:rsidRPr="00E06D7F">
        <w:t>:  The Financial Partner shall prepare a monthly statement of liquidation value</w:t>
      </w:r>
      <w:r w:rsidR="00C00D96" w:rsidRPr="00E06D7F">
        <w:t>,</w:t>
      </w:r>
      <w:r w:rsidRPr="00E06D7F">
        <w:t xml:space="preserve"> effective the </w:t>
      </w:r>
      <w:r w:rsidR="00EA1809" w:rsidRPr="00EA1809">
        <w:rPr>
          <w:b/>
        </w:rPr>
        <w:t>Friday</w:t>
      </w:r>
      <w:r w:rsidRPr="00E06D7F">
        <w:t xml:space="preserve"> before the regularly scheduled monthly meeting</w:t>
      </w:r>
      <w:r w:rsidR="001D068D" w:rsidRPr="00E06D7F">
        <w:t>.</w:t>
      </w:r>
    </w:p>
    <w:p w:rsidR="0043757C" w:rsidRPr="00E06D7F" w:rsidRDefault="001A65B7" w:rsidP="00E06D7F">
      <w:pPr>
        <w:pStyle w:val="Heading2"/>
      </w:pPr>
      <w:r w:rsidRPr="00E06D7F">
        <w:t xml:space="preserve">Article X. </w:t>
      </w:r>
      <w:r w:rsidR="00E06D7F">
        <w:t>Book of Account</w:t>
      </w:r>
    </w:p>
    <w:p w:rsidR="0043757C" w:rsidRPr="00E06D7F" w:rsidRDefault="00FA4572" w:rsidP="00381E17">
      <w:pPr>
        <w:pStyle w:val="BodyText"/>
      </w:pPr>
      <w:r w:rsidRPr="00E06D7F">
        <w:t>The Book of Account s</w:t>
      </w:r>
      <w:r w:rsidR="0043757C" w:rsidRPr="00E06D7F">
        <w:t xml:space="preserve">hall be a complete set of accounts, consisting of assets, liabilities, individual Partnership accounts, </w:t>
      </w:r>
      <w:r w:rsidR="00112082" w:rsidRPr="00E06D7F">
        <w:t xml:space="preserve">and </w:t>
      </w:r>
      <w:r w:rsidR="0043757C" w:rsidRPr="00E06D7F">
        <w:t>appropriate revenue and expense accounts</w:t>
      </w:r>
      <w:r w:rsidR="00C02A16" w:rsidRPr="00E06D7F">
        <w:t xml:space="preserve">. It shall </w:t>
      </w:r>
      <w:r w:rsidR="0043757C" w:rsidRPr="00E06D7F">
        <w:t>us</w:t>
      </w:r>
      <w:r w:rsidR="00C02A16" w:rsidRPr="00E06D7F">
        <w:t>e</w:t>
      </w:r>
      <w:r w:rsidR="0043757C" w:rsidRPr="00E06D7F">
        <w:t xml:space="preserve"> the double</w:t>
      </w:r>
      <w:r w:rsidR="00C02A16" w:rsidRPr="00E06D7F">
        <w:t>-</w:t>
      </w:r>
      <w:r w:rsidR="0043757C" w:rsidRPr="00E06D7F">
        <w:t>entry accounting system</w:t>
      </w:r>
      <w:r w:rsidR="00492F5F" w:rsidRPr="00E06D7F">
        <w:t>.</w:t>
      </w:r>
    </w:p>
    <w:p w:rsidR="0043757C" w:rsidRPr="00E06D7F" w:rsidRDefault="001A65B7" w:rsidP="00E06D7F">
      <w:pPr>
        <w:pStyle w:val="Heading2"/>
      </w:pPr>
      <w:r w:rsidRPr="00E06D7F">
        <w:t xml:space="preserve">Article XI. </w:t>
      </w:r>
      <w:r w:rsidR="0043757C" w:rsidRPr="00E06D7F">
        <w:t>Annual Accounting</w:t>
      </w:r>
    </w:p>
    <w:p w:rsidR="00C41060" w:rsidRPr="00E06D7F" w:rsidRDefault="00C41060" w:rsidP="00D838E7">
      <w:pPr>
        <w:pStyle w:val="ListBullet2"/>
      </w:pPr>
      <w:r w:rsidRPr="00E06D7F">
        <w:t>Each calendar year, a full and complete account of the condition of th</w:t>
      </w:r>
      <w:r w:rsidR="00B67EEB">
        <w:t>e P</w:t>
      </w:r>
      <w:r w:rsidRPr="00E06D7F">
        <w:t>a</w:t>
      </w:r>
      <w:r w:rsidR="00B67EEB">
        <w:t>rtnership shall be made to the P</w:t>
      </w:r>
      <w:r w:rsidRPr="00E06D7F">
        <w:t>artners. The annual accounting shall take place at the Annual Meeting for the preceding year.</w:t>
      </w:r>
    </w:p>
    <w:p w:rsidR="00C41060" w:rsidRPr="00E06D7F" w:rsidRDefault="00C41060" w:rsidP="00D838E7">
      <w:pPr>
        <w:pStyle w:val="ListBullet2"/>
      </w:pPr>
      <w:r w:rsidRPr="00E06D7F">
        <w:t>All financial transactions shall be reviewed semi-annually by a Partnership Audit Committee.</w:t>
      </w:r>
    </w:p>
    <w:p w:rsidR="0043757C" w:rsidRPr="00E06D7F" w:rsidRDefault="001A65B7" w:rsidP="00E06D7F">
      <w:pPr>
        <w:pStyle w:val="Heading2"/>
      </w:pPr>
      <w:r w:rsidRPr="00E06D7F">
        <w:t>Article X</w:t>
      </w:r>
      <w:r w:rsidR="00184FF6" w:rsidRPr="00E06D7F">
        <w:t>II</w:t>
      </w:r>
      <w:r w:rsidRPr="00E06D7F">
        <w:t xml:space="preserve">. </w:t>
      </w:r>
      <w:r w:rsidR="0043757C" w:rsidRPr="00E06D7F">
        <w:t>Bank Account</w:t>
      </w:r>
    </w:p>
    <w:p w:rsidR="00C41060" w:rsidRPr="00E06D7F" w:rsidRDefault="00E959A8" w:rsidP="00381E17">
      <w:pPr>
        <w:pStyle w:val="BodyText"/>
      </w:pPr>
      <w:r>
        <w:t>The P</w:t>
      </w:r>
      <w:r w:rsidR="00C41060" w:rsidRPr="00E06D7F">
        <w:t>artnership may select a bank for the purpose of opening a bank account. Funds in the bank account shall be withdrawn by checks signed by</w:t>
      </w:r>
      <w:r>
        <w:t xml:space="preserve"> any Partner designated by the P</w:t>
      </w:r>
      <w:r w:rsidR="00C41060" w:rsidRPr="00E06D7F">
        <w:t>artnership.</w:t>
      </w:r>
    </w:p>
    <w:p w:rsidR="0043757C" w:rsidRPr="00E06D7F" w:rsidRDefault="001A65B7" w:rsidP="00E06D7F">
      <w:pPr>
        <w:pStyle w:val="Heading2"/>
      </w:pPr>
      <w:r w:rsidRPr="00E06D7F">
        <w:t>Article X</w:t>
      </w:r>
      <w:r w:rsidR="00184FF6" w:rsidRPr="00E06D7F">
        <w:t>III</w:t>
      </w:r>
      <w:r w:rsidRPr="00E06D7F">
        <w:t xml:space="preserve">. </w:t>
      </w:r>
      <w:r w:rsidR="0043757C" w:rsidRPr="00E06D7F">
        <w:t>Broker Account</w:t>
      </w:r>
    </w:p>
    <w:p w:rsidR="0043757C" w:rsidRPr="00E06D7F" w:rsidRDefault="0043757C" w:rsidP="00D838E7">
      <w:pPr>
        <w:pStyle w:val="ListBullet2"/>
      </w:pPr>
      <w:r w:rsidRPr="00E06D7F">
        <w:t>All securities shall be purchased in the name of the Partnership.</w:t>
      </w:r>
    </w:p>
    <w:p w:rsidR="0043757C" w:rsidRPr="00E06D7F" w:rsidRDefault="0043757C" w:rsidP="00D838E7">
      <w:pPr>
        <w:pStyle w:val="ListBullet2"/>
      </w:pPr>
      <w:r w:rsidRPr="00E06D7F">
        <w:lastRenderedPageBreak/>
        <w:t>All securities shall be kept in the Partnership safe deposit box or with the broker.</w:t>
      </w:r>
    </w:p>
    <w:p w:rsidR="0043757C" w:rsidRPr="00E06D7F" w:rsidRDefault="0043757C" w:rsidP="00D838E7">
      <w:pPr>
        <w:pStyle w:val="ListBullet2"/>
      </w:pPr>
      <w:r w:rsidRPr="00E06D7F">
        <w:t>The Presiding Partner and the Assistant Presiding Partner shall be the custodian</w:t>
      </w:r>
      <w:r w:rsidR="00E11220" w:rsidRPr="00E06D7F">
        <w:t>s</w:t>
      </w:r>
      <w:r w:rsidRPr="00E06D7F">
        <w:t xml:space="preserve"> of all securities.</w:t>
      </w:r>
    </w:p>
    <w:p w:rsidR="003A23B9" w:rsidRPr="00E06D7F" w:rsidRDefault="00CD13DA" w:rsidP="00381E17">
      <w:pPr>
        <w:pStyle w:val="BodyText"/>
      </w:pPr>
      <w:r w:rsidRPr="00E06D7F">
        <w:t xml:space="preserve">In Witness </w:t>
      </w:r>
      <w:r w:rsidR="00C02A16" w:rsidRPr="00E06D7F">
        <w:t>t</w:t>
      </w:r>
      <w:r w:rsidRPr="00E06D7F">
        <w:t xml:space="preserve">hereof, the </w:t>
      </w:r>
      <w:r w:rsidR="00C02A16" w:rsidRPr="00E06D7F">
        <w:t>P</w:t>
      </w:r>
      <w:r w:rsidRPr="00E06D7F">
        <w:t>artners have set their hand</w:t>
      </w:r>
      <w:r w:rsidR="00C00D96" w:rsidRPr="00E06D7F">
        <w:t>s</w:t>
      </w:r>
      <w:r w:rsidRPr="00E06D7F">
        <w:t xml:space="preserve">, the year, and </w:t>
      </w:r>
      <w:r w:rsidR="00C00D96" w:rsidRPr="00E06D7F">
        <w:t xml:space="preserve">the </w:t>
      </w:r>
      <w:r w:rsidRPr="00E06D7F">
        <w:t>date below:</w:t>
      </w:r>
    </w:p>
    <w:tbl>
      <w:tblPr>
        <w:tblStyle w:val="TableGrid"/>
        <w:tblW w:w="0" w:type="auto"/>
        <w:jc w:val="center"/>
        <w:tblLook w:val="01E0" w:firstRow="1" w:lastRow="1" w:firstColumn="1" w:lastColumn="1" w:noHBand="0" w:noVBand="0"/>
      </w:tblPr>
      <w:tblGrid>
        <w:gridCol w:w="3168"/>
        <w:gridCol w:w="3600"/>
        <w:gridCol w:w="2088"/>
      </w:tblGrid>
      <w:tr w:rsidR="00CD13DA" w:rsidRPr="00E06D7F" w:rsidTr="00C6027F">
        <w:trPr>
          <w:trHeight w:val="432"/>
          <w:jc w:val="center"/>
        </w:trPr>
        <w:tc>
          <w:tcPr>
            <w:tcW w:w="3168" w:type="dxa"/>
            <w:vAlign w:val="center"/>
          </w:tcPr>
          <w:p w:rsidR="00CD13DA" w:rsidRPr="00C6027F" w:rsidRDefault="00C55F7B" w:rsidP="00C55F7B">
            <w:pPr>
              <w:pStyle w:val="Heading3"/>
              <w:jc w:val="left"/>
              <w:rPr>
                <w:szCs w:val="22"/>
              </w:rPr>
            </w:pPr>
            <w:r>
              <w:rPr>
                <w:szCs w:val="22"/>
              </w:rPr>
              <w:t xml:space="preserve">          </w:t>
            </w:r>
            <w:r w:rsidR="00CD13DA" w:rsidRPr="00C6027F">
              <w:rPr>
                <w:szCs w:val="22"/>
              </w:rPr>
              <w:t xml:space="preserve">Partner </w:t>
            </w:r>
            <w:r w:rsidR="00C6027F" w:rsidRPr="00C6027F">
              <w:rPr>
                <w:szCs w:val="22"/>
              </w:rPr>
              <w:t>Name</w:t>
            </w:r>
          </w:p>
        </w:tc>
        <w:tc>
          <w:tcPr>
            <w:tcW w:w="3600" w:type="dxa"/>
            <w:vAlign w:val="center"/>
          </w:tcPr>
          <w:p w:rsidR="00CD13DA" w:rsidRPr="00C6027F" w:rsidRDefault="00CD13DA" w:rsidP="00E06D7F">
            <w:pPr>
              <w:pStyle w:val="Heading3"/>
              <w:rPr>
                <w:szCs w:val="22"/>
              </w:rPr>
            </w:pPr>
            <w:r w:rsidRPr="00C6027F">
              <w:rPr>
                <w:szCs w:val="22"/>
              </w:rPr>
              <w:t>Partner Signature</w:t>
            </w:r>
          </w:p>
        </w:tc>
        <w:tc>
          <w:tcPr>
            <w:tcW w:w="2088" w:type="dxa"/>
            <w:vAlign w:val="center"/>
          </w:tcPr>
          <w:p w:rsidR="00CD13DA" w:rsidRPr="00C6027F" w:rsidRDefault="00CD13DA" w:rsidP="00E06D7F">
            <w:pPr>
              <w:pStyle w:val="Heading3"/>
              <w:rPr>
                <w:szCs w:val="22"/>
              </w:rPr>
            </w:pPr>
            <w:r w:rsidRPr="00C6027F">
              <w:rPr>
                <w:szCs w:val="22"/>
              </w:rPr>
              <w:t xml:space="preserve">Date </w:t>
            </w:r>
            <w:r w:rsidR="00C6027F" w:rsidRPr="00C6027F">
              <w:rPr>
                <w:szCs w:val="22"/>
              </w:rPr>
              <w:t xml:space="preserve">of </w:t>
            </w:r>
            <w:r w:rsidR="00C6027F" w:rsidRPr="00C6027F">
              <w:rPr>
                <w:szCs w:val="22"/>
              </w:rPr>
              <w:t>Signature</w:t>
            </w:r>
          </w:p>
        </w:tc>
      </w:tr>
      <w:tr w:rsidR="00CD13DA" w:rsidRPr="00E06D7F" w:rsidTr="00C6027F">
        <w:trPr>
          <w:trHeight w:val="674"/>
          <w:jc w:val="center"/>
        </w:trPr>
        <w:tc>
          <w:tcPr>
            <w:tcW w:w="3168" w:type="dxa"/>
            <w:vAlign w:val="center"/>
          </w:tcPr>
          <w:p w:rsidR="00CD13DA" w:rsidRPr="00C55F7B" w:rsidRDefault="00C55F7B" w:rsidP="00C55F7B">
            <w:pPr>
              <w:pStyle w:val="BodyText"/>
              <w:rPr>
                <w:b/>
                <w:szCs w:val="22"/>
              </w:rPr>
            </w:pPr>
            <w:r w:rsidRPr="00C55F7B">
              <w:rPr>
                <w:rFonts w:ascii="Segoe UI" w:hAnsi="Segoe UI" w:cs="Segoe UI"/>
                <w:b/>
                <w:szCs w:val="22"/>
                <w:shd w:val="clear" w:color="auto" w:fill="FFFFFF"/>
              </w:rPr>
              <w:t xml:space="preserve">   </w:t>
            </w:r>
            <w:r>
              <w:rPr>
                <w:rFonts w:ascii="Segoe UI" w:hAnsi="Segoe UI" w:cs="Segoe UI"/>
                <w:b/>
                <w:szCs w:val="22"/>
                <w:shd w:val="clear" w:color="auto" w:fill="FFFFFF"/>
              </w:rPr>
              <w:t xml:space="preserve"> </w:t>
            </w:r>
            <w:bookmarkStart w:id="0" w:name="_GoBack"/>
            <w:bookmarkEnd w:id="0"/>
            <w:r w:rsidRPr="00C55F7B">
              <w:rPr>
                <w:rFonts w:ascii="Segoe UI" w:hAnsi="Segoe UI" w:cs="Segoe UI"/>
                <w:b/>
                <w:szCs w:val="22"/>
                <w:shd w:val="clear" w:color="auto" w:fill="FFFFFF"/>
              </w:rPr>
              <w:t xml:space="preserve"> </w:t>
            </w:r>
            <w:r>
              <w:rPr>
                <w:rFonts w:ascii="Segoe UI" w:hAnsi="Segoe UI" w:cs="Segoe UI"/>
                <w:b/>
                <w:szCs w:val="22"/>
                <w:shd w:val="clear" w:color="auto" w:fill="FFFFFF"/>
              </w:rPr>
              <w:t xml:space="preserve">  </w:t>
            </w:r>
            <w:r w:rsidR="00EA1809" w:rsidRPr="00C55F7B">
              <w:rPr>
                <w:rFonts w:ascii="Segoe UI" w:hAnsi="Segoe UI" w:cs="Segoe UI"/>
                <w:b/>
                <w:szCs w:val="22"/>
                <w:shd w:val="clear" w:color="auto" w:fill="FFFFFF"/>
              </w:rPr>
              <w:t>Shelley Brown</w:t>
            </w:r>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r w:rsidR="00CD13DA" w:rsidRPr="00E06D7F" w:rsidTr="00C6027F">
        <w:trPr>
          <w:trHeight w:val="720"/>
          <w:jc w:val="center"/>
        </w:trPr>
        <w:tc>
          <w:tcPr>
            <w:tcW w:w="3168" w:type="dxa"/>
            <w:vAlign w:val="center"/>
          </w:tcPr>
          <w:p w:rsidR="00CD13DA" w:rsidRPr="00C55F7B" w:rsidRDefault="00C55F7B" w:rsidP="00C55F7B">
            <w:pPr>
              <w:pStyle w:val="BodyText"/>
              <w:rPr>
                <w:b/>
                <w:szCs w:val="22"/>
              </w:rPr>
            </w:pPr>
            <w:r w:rsidRPr="00C55F7B">
              <w:rPr>
                <w:rFonts w:ascii="Segoe UI" w:hAnsi="Segoe UI" w:cs="Segoe UI"/>
                <w:b/>
                <w:szCs w:val="22"/>
                <w:shd w:val="clear" w:color="auto" w:fill="FFFFFF"/>
              </w:rPr>
              <w:t xml:space="preserve"> </w:t>
            </w:r>
            <w:r>
              <w:rPr>
                <w:rFonts w:ascii="Segoe UI" w:hAnsi="Segoe UI" w:cs="Segoe UI"/>
                <w:b/>
                <w:szCs w:val="22"/>
                <w:shd w:val="clear" w:color="auto" w:fill="FFFFFF"/>
              </w:rPr>
              <w:t xml:space="preserve">  </w:t>
            </w:r>
            <w:r w:rsidRPr="00C55F7B">
              <w:rPr>
                <w:rFonts w:ascii="Segoe UI" w:hAnsi="Segoe UI" w:cs="Segoe UI"/>
                <w:b/>
                <w:szCs w:val="22"/>
                <w:shd w:val="clear" w:color="auto" w:fill="FFFFFF"/>
              </w:rPr>
              <w:t xml:space="preserve">   </w:t>
            </w:r>
            <w:r w:rsidR="00C6027F" w:rsidRPr="00C55F7B">
              <w:rPr>
                <w:rFonts w:ascii="Segoe UI" w:hAnsi="Segoe UI" w:cs="Segoe UI"/>
                <w:b/>
                <w:szCs w:val="22"/>
                <w:shd w:val="clear" w:color="auto" w:fill="FFFFFF"/>
              </w:rPr>
              <w:t xml:space="preserve">Jim </w:t>
            </w:r>
            <w:proofErr w:type="spellStart"/>
            <w:r w:rsidR="00C6027F" w:rsidRPr="00C55F7B">
              <w:rPr>
                <w:rFonts w:ascii="Segoe UI" w:hAnsi="Segoe UI" w:cs="Segoe UI"/>
                <w:b/>
                <w:szCs w:val="22"/>
                <w:shd w:val="clear" w:color="auto" w:fill="FFFFFF"/>
              </w:rPr>
              <w:t>DeStefano</w:t>
            </w:r>
            <w:proofErr w:type="spellEnd"/>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r w:rsidR="00CD13DA" w:rsidRPr="00E06D7F" w:rsidTr="00C6027F">
        <w:trPr>
          <w:trHeight w:val="720"/>
          <w:jc w:val="center"/>
        </w:trPr>
        <w:tc>
          <w:tcPr>
            <w:tcW w:w="3168" w:type="dxa"/>
            <w:vAlign w:val="center"/>
          </w:tcPr>
          <w:p w:rsidR="00CD13DA" w:rsidRPr="00C55F7B" w:rsidRDefault="00C55F7B" w:rsidP="00C55F7B">
            <w:pPr>
              <w:pStyle w:val="BodyText"/>
              <w:rPr>
                <w:b/>
                <w:szCs w:val="22"/>
              </w:rPr>
            </w:pPr>
            <w:r w:rsidRPr="00C55F7B">
              <w:rPr>
                <w:rFonts w:ascii="Segoe UI" w:hAnsi="Segoe UI" w:cs="Segoe UI"/>
                <w:b/>
                <w:szCs w:val="22"/>
                <w:shd w:val="clear" w:color="auto" w:fill="FFFFFF"/>
              </w:rPr>
              <w:t xml:space="preserve">  </w:t>
            </w:r>
            <w:r>
              <w:rPr>
                <w:rFonts w:ascii="Segoe UI" w:hAnsi="Segoe UI" w:cs="Segoe UI"/>
                <w:b/>
                <w:szCs w:val="22"/>
                <w:shd w:val="clear" w:color="auto" w:fill="FFFFFF"/>
              </w:rPr>
              <w:t xml:space="preserve">  </w:t>
            </w:r>
            <w:r w:rsidRPr="00C55F7B">
              <w:rPr>
                <w:rFonts w:ascii="Segoe UI" w:hAnsi="Segoe UI" w:cs="Segoe UI"/>
                <w:b/>
                <w:szCs w:val="22"/>
                <w:shd w:val="clear" w:color="auto" w:fill="FFFFFF"/>
              </w:rPr>
              <w:t xml:space="preserve">  </w:t>
            </w:r>
            <w:r w:rsidR="00C6027F" w:rsidRPr="00C55F7B">
              <w:rPr>
                <w:rFonts w:ascii="Segoe UI" w:hAnsi="Segoe UI" w:cs="Segoe UI"/>
                <w:b/>
                <w:szCs w:val="22"/>
                <w:shd w:val="clear" w:color="auto" w:fill="FFFFFF"/>
              </w:rPr>
              <w:t>Alex Cruz</w:t>
            </w:r>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r w:rsidR="00CD13DA" w:rsidRPr="00E06D7F" w:rsidTr="00C6027F">
        <w:trPr>
          <w:trHeight w:val="720"/>
          <w:jc w:val="center"/>
        </w:trPr>
        <w:tc>
          <w:tcPr>
            <w:tcW w:w="3168" w:type="dxa"/>
            <w:vAlign w:val="center"/>
          </w:tcPr>
          <w:p w:rsidR="00CD13DA" w:rsidRPr="00C55F7B" w:rsidRDefault="00C55F7B" w:rsidP="00C55F7B">
            <w:pPr>
              <w:pStyle w:val="BodyText"/>
              <w:rPr>
                <w:b/>
                <w:szCs w:val="22"/>
              </w:rPr>
            </w:pPr>
            <w:r w:rsidRPr="00C55F7B">
              <w:rPr>
                <w:b/>
                <w:szCs w:val="22"/>
              </w:rPr>
              <w:t xml:space="preserve">  </w:t>
            </w:r>
            <w:r>
              <w:rPr>
                <w:b/>
                <w:szCs w:val="22"/>
              </w:rPr>
              <w:t xml:space="preserve">  </w:t>
            </w:r>
            <w:r w:rsidRPr="00C55F7B">
              <w:rPr>
                <w:b/>
                <w:szCs w:val="22"/>
              </w:rPr>
              <w:t xml:space="preserve">  </w:t>
            </w:r>
            <w:proofErr w:type="spellStart"/>
            <w:r w:rsidR="00C6027F" w:rsidRPr="00C55F7B">
              <w:rPr>
                <w:b/>
                <w:szCs w:val="22"/>
              </w:rPr>
              <w:t>La'Bria</w:t>
            </w:r>
            <w:proofErr w:type="spellEnd"/>
            <w:r w:rsidR="00C6027F" w:rsidRPr="00C55F7B">
              <w:rPr>
                <w:b/>
                <w:szCs w:val="22"/>
              </w:rPr>
              <w:t xml:space="preserve"> </w:t>
            </w:r>
            <w:proofErr w:type="spellStart"/>
            <w:r w:rsidR="00C6027F" w:rsidRPr="00C55F7B">
              <w:rPr>
                <w:b/>
                <w:szCs w:val="22"/>
              </w:rPr>
              <w:t>Wimberly</w:t>
            </w:r>
            <w:proofErr w:type="spellEnd"/>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r w:rsidR="00CD13DA" w:rsidRPr="00E06D7F" w:rsidTr="00C6027F">
        <w:trPr>
          <w:trHeight w:val="720"/>
          <w:jc w:val="center"/>
        </w:trPr>
        <w:tc>
          <w:tcPr>
            <w:tcW w:w="3168" w:type="dxa"/>
            <w:vAlign w:val="center"/>
          </w:tcPr>
          <w:p w:rsidR="00CD13DA" w:rsidRPr="00C55F7B" w:rsidRDefault="00C55F7B" w:rsidP="00C55F7B">
            <w:pPr>
              <w:pStyle w:val="BodyText"/>
              <w:rPr>
                <w:b/>
                <w:szCs w:val="22"/>
              </w:rPr>
            </w:pPr>
            <w:r>
              <w:rPr>
                <w:b/>
                <w:szCs w:val="22"/>
              </w:rPr>
              <w:t xml:space="preserve">  </w:t>
            </w:r>
            <w:r w:rsidRPr="00C55F7B">
              <w:rPr>
                <w:b/>
                <w:szCs w:val="22"/>
              </w:rPr>
              <w:t xml:space="preserve">    </w:t>
            </w:r>
            <w:r w:rsidR="00C6027F" w:rsidRPr="00C55F7B">
              <w:rPr>
                <w:b/>
                <w:szCs w:val="22"/>
              </w:rPr>
              <w:t>Tiara Householder</w:t>
            </w:r>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r w:rsidR="00CD13DA" w:rsidRPr="00E06D7F" w:rsidTr="00C6027F">
        <w:trPr>
          <w:trHeight w:val="720"/>
          <w:jc w:val="center"/>
        </w:trPr>
        <w:tc>
          <w:tcPr>
            <w:tcW w:w="3168" w:type="dxa"/>
            <w:vAlign w:val="center"/>
          </w:tcPr>
          <w:p w:rsidR="00CD13DA" w:rsidRPr="00C55F7B" w:rsidRDefault="00C55F7B" w:rsidP="00C55F7B">
            <w:pPr>
              <w:pStyle w:val="BodyText"/>
              <w:rPr>
                <w:b/>
                <w:szCs w:val="22"/>
              </w:rPr>
            </w:pPr>
            <w:r w:rsidRPr="00C55F7B">
              <w:rPr>
                <w:b/>
                <w:szCs w:val="22"/>
              </w:rPr>
              <w:t xml:space="preserve"> </w:t>
            </w:r>
            <w:r>
              <w:rPr>
                <w:b/>
                <w:szCs w:val="22"/>
              </w:rPr>
              <w:t xml:space="preserve">  </w:t>
            </w:r>
            <w:r w:rsidRPr="00C55F7B">
              <w:rPr>
                <w:b/>
                <w:szCs w:val="22"/>
              </w:rPr>
              <w:t xml:space="preserve">   </w:t>
            </w:r>
            <w:r w:rsidR="00C6027F" w:rsidRPr="00C55F7B">
              <w:rPr>
                <w:b/>
                <w:szCs w:val="22"/>
              </w:rPr>
              <w:t>Robbie Arrington</w:t>
            </w:r>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r w:rsidR="00CD13DA" w:rsidRPr="00E06D7F" w:rsidTr="00C6027F">
        <w:trPr>
          <w:trHeight w:val="720"/>
          <w:jc w:val="center"/>
        </w:trPr>
        <w:tc>
          <w:tcPr>
            <w:tcW w:w="3168" w:type="dxa"/>
            <w:vAlign w:val="center"/>
          </w:tcPr>
          <w:p w:rsidR="00CD13DA" w:rsidRPr="00C55F7B" w:rsidRDefault="00C55F7B" w:rsidP="00C55F7B">
            <w:pPr>
              <w:rPr>
                <w:rFonts w:ascii="Times New Roman" w:hAnsi="Times New Roman"/>
                <w:b/>
                <w:szCs w:val="22"/>
              </w:rPr>
            </w:pPr>
            <w:r>
              <w:rPr>
                <w:rFonts w:ascii="Times New Roman" w:hAnsi="Times New Roman"/>
                <w:b/>
                <w:szCs w:val="22"/>
              </w:rPr>
              <w:t xml:space="preserve">  </w:t>
            </w:r>
            <w:r w:rsidRPr="00C55F7B">
              <w:rPr>
                <w:rFonts w:ascii="Times New Roman" w:hAnsi="Times New Roman"/>
                <w:b/>
                <w:szCs w:val="22"/>
              </w:rPr>
              <w:t xml:space="preserve">    </w:t>
            </w:r>
            <w:r w:rsidR="00C6027F" w:rsidRPr="00C6027F">
              <w:rPr>
                <w:rFonts w:ascii="Times New Roman" w:hAnsi="Times New Roman"/>
                <w:b/>
                <w:szCs w:val="22"/>
              </w:rPr>
              <w:t xml:space="preserve">Anthony </w:t>
            </w:r>
            <w:proofErr w:type="spellStart"/>
            <w:r w:rsidR="00C6027F" w:rsidRPr="00C6027F">
              <w:rPr>
                <w:rFonts w:ascii="Times New Roman" w:hAnsi="Times New Roman"/>
                <w:b/>
                <w:szCs w:val="22"/>
              </w:rPr>
              <w:t>Scarpaci</w:t>
            </w:r>
            <w:proofErr w:type="spellEnd"/>
            <w:r w:rsidR="00C6027F" w:rsidRPr="00C55F7B">
              <w:rPr>
                <w:rFonts w:ascii="Times New Roman" w:hAnsi="Times New Roman"/>
                <w:b/>
                <w:vanish/>
                <w:szCs w:val="22"/>
                <w:bdr w:val="none" w:sz="0" w:space="0" w:color="auto" w:frame="1"/>
              </w:rPr>
              <w:br/>
            </w:r>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r w:rsidR="00CD13DA" w:rsidRPr="00E06D7F" w:rsidTr="00C6027F">
        <w:trPr>
          <w:trHeight w:val="720"/>
          <w:jc w:val="center"/>
        </w:trPr>
        <w:tc>
          <w:tcPr>
            <w:tcW w:w="3168" w:type="dxa"/>
            <w:vAlign w:val="center"/>
          </w:tcPr>
          <w:p w:rsidR="00CD13DA" w:rsidRPr="00C55F7B" w:rsidRDefault="00C55F7B" w:rsidP="00C55F7B">
            <w:pPr>
              <w:pStyle w:val="BodyText"/>
              <w:rPr>
                <w:b/>
                <w:szCs w:val="22"/>
              </w:rPr>
            </w:pPr>
            <w:r w:rsidRPr="00C55F7B">
              <w:rPr>
                <w:b/>
                <w:szCs w:val="22"/>
              </w:rPr>
              <w:t xml:space="preserve"> </w:t>
            </w:r>
            <w:r>
              <w:rPr>
                <w:b/>
                <w:szCs w:val="22"/>
              </w:rPr>
              <w:t xml:space="preserve">  </w:t>
            </w:r>
            <w:r w:rsidRPr="00C55F7B">
              <w:rPr>
                <w:b/>
                <w:szCs w:val="22"/>
              </w:rPr>
              <w:t xml:space="preserve">   </w:t>
            </w:r>
            <w:r w:rsidR="00C6027F" w:rsidRPr="00C55F7B">
              <w:rPr>
                <w:b/>
                <w:szCs w:val="22"/>
              </w:rPr>
              <w:t xml:space="preserve">John </w:t>
            </w:r>
            <w:proofErr w:type="spellStart"/>
            <w:r w:rsidR="00C6027F" w:rsidRPr="00C55F7B">
              <w:rPr>
                <w:b/>
                <w:szCs w:val="22"/>
              </w:rPr>
              <w:t>Livigni</w:t>
            </w:r>
            <w:proofErr w:type="spellEnd"/>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r w:rsidR="00CD13DA" w:rsidRPr="00E06D7F" w:rsidTr="00C6027F">
        <w:trPr>
          <w:trHeight w:val="720"/>
          <w:jc w:val="center"/>
        </w:trPr>
        <w:tc>
          <w:tcPr>
            <w:tcW w:w="3168" w:type="dxa"/>
            <w:vAlign w:val="center"/>
          </w:tcPr>
          <w:p w:rsidR="00CD13DA" w:rsidRPr="00C55F7B" w:rsidRDefault="00C55F7B" w:rsidP="00C55F7B">
            <w:pPr>
              <w:rPr>
                <w:rFonts w:ascii="Times New Roman" w:hAnsi="Times New Roman"/>
                <w:b/>
                <w:szCs w:val="22"/>
              </w:rPr>
            </w:pPr>
            <w:r w:rsidRPr="00C55F7B">
              <w:rPr>
                <w:rFonts w:ascii="Times New Roman" w:hAnsi="Times New Roman"/>
                <w:b/>
                <w:szCs w:val="22"/>
              </w:rPr>
              <w:t xml:space="preserve">  </w:t>
            </w:r>
            <w:r>
              <w:rPr>
                <w:rFonts w:ascii="Times New Roman" w:hAnsi="Times New Roman"/>
                <w:b/>
                <w:szCs w:val="22"/>
              </w:rPr>
              <w:t xml:space="preserve">  </w:t>
            </w:r>
            <w:r w:rsidRPr="00C55F7B">
              <w:rPr>
                <w:rFonts w:ascii="Times New Roman" w:hAnsi="Times New Roman"/>
                <w:b/>
                <w:szCs w:val="22"/>
              </w:rPr>
              <w:t xml:space="preserve">  </w:t>
            </w:r>
            <w:r w:rsidR="00C6027F" w:rsidRPr="00C6027F">
              <w:rPr>
                <w:rFonts w:ascii="Times New Roman" w:hAnsi="Times New Roman"/>
                <w:b/>
                <w:szCs w:val="22"/>
              </w:rPr>
              <w:t xml:space="preserve">Anthony </w:t>
            </w:r>
            <w:proofErr w:type="spellStart"/>
            <w:r w:rsidR="00C6027F" w:rsidRPr="00C6027F">
              <w:rPr>
                <w:rFonts w:ascii="Times New Roman" w:hAnsi="Times New Roman"/>
                <w:b/>
                <w:szCs w:val="22"/>
              </w:rPr>
              <w:t>Scarpaci</w:t>
            </w:r>
            <w:proofErr w:type="spellEnd"/>
            <w:r w:rsidR="00C6027F" w:rsidRPr="00C55F7B">
              <w:rPr>
                <w:rFonts w:ascii="Times New Roman" w:hAnsi="Times New Roman"/>
                <w:b/>
                <w:vanish/>
                <w:szCs w:val="22"/>
                <w:bdr w:val="none" w:sz="0" w:space="0" w:color="auto" w:frame="1"/>
              </w:rPr>
              <w:br/>
            </w:r>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r w:rsidR="00CD13DA" w:rsidRPr="00E06D7F" w:rsidTr="00C6027F">
        <w:trPr>
          <w:trHeight w:val="720"/>
          <w:jc w:val="center"/>
        </w:trPr>
        <w:tc>
          <w:tcPr>
            <w:tcW w:w="3168" w:type="dxa"/>
            <w:vAlign w:val="center"/>
          </w:tcPr>
          <w:p w:rsidR="00CD13DA" w:rsidRPr="00C55F7B" w:rsidRDefault="00C55F7B" w:rsidP="00C55F7B">
            <w:pPr>
              <w:rPr>
                <w:rFonts w:ascii="Times New Roman" w:hAnsi="Times New Roman"/>
                <w:b/>
                <w:szCs w:val="22"/>
              </w:rPr>
            </w:pPr>
            <w:r w:rsidRPr="00C55F7B">
              <w:rPr>
                <w:rFonts w:ascii="Times New Roman" w:hAnsi="Times New Roman"/>
                <w:b/>
                <w:szCs w:val="22"/>
              </w:rPr>
              <w:t xml:space="preserve"> </w:t>
            </w:r>
            <w:r>
              <w:rPr>
                <w:rFonts w:ascii="Times New Roman" w:hAnsi="Times New Roman"/>
                <w:b/>
                <w:szCs w:val="22"/>
              </w:rPr>
              <w:t xml:space="preserve">  </w:t>
            </w:r>
            <w:r w:rsidRPr="00C55F7B">
              <w:rPr>
                <w:rFonts w:ascii="Times New Roman" w:hAnsi="Times New Roman"/>
                <w:b/>
                <w:szCs w:val="22"/>
              </w:rPr>
              <w:t xml:space="preserve">   </w:t>
            </w:r>
            <w:r w:rsidR="00C6027F" w:rsidRPr="00C6027F">
              <w:rPr>
                <w:rFonts w:ascii="Times New Roman" w:hAnsi="Times New Roman"/>
                <w:b/>
                <w:szCs w:val="22"/>
              </w:rPr>
              <w:t xml:space="preserve">Mark </w:t>
            </w:r>
            <w:proofErr w:type="spellStart"/>
            <w:r w:rsidR="00C6027F" w:rsidRPr="00C6027F">
              <w:rPr>
                <w:rFonts w:ascii="Times New Roman" w:hAnsi="Times New Roman"/>
                <w:b/>
                <w:szCs w:val="22"/>
              </w:rPr>
              <w:t>Behrang</w:t>
            </w:r>
            <w:proofErr w:type="spellEnd"/>
            <w:r w:rsidR="00C6027F" w:rsidRPr="00C55F7B">
              <w:rPr>
                <w:rFonts w:ascii="Times New Roman" w:hAnsi="Times New Roman"/>
                <w:b/>
                <w:vanish/>
                <w:szCs w:val="22"/>
                <w:bdr w:val="none" w:sz="0" w:space="0" w:color="auto" w:frame="1"/>
              </w:rPr>
              <w:br/>
            </w:r>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r w:rsidR="00CD13DA" w:rsidRPr="00E06D7F" w:rsidTr="00C6027F">
        <w:trPr>
          <w:trHeight w:val="720"/>
          <w:jc w:val="center"/>
        </w:trPr>
        <w:tc>
          <w:tcPr>
            <w:tcW w:w="3168" w:type="dxa"/>
            <w:vAlign w:val="center"/>
          </w:tcPr>
          <w:p w:rsidR="00CD13DA" w:rsidRPr="00C55F7B" w:rsidRDefault="00C55F7B" w:rsidP="00C55F7B">
            <w:pPr>
              <w:pStyle w:val="BodyText"/>
              <w:rPr>
                <w:b/>
                <w:szCs w:val="22"/>
              </w:rPr>
            </w:pPr>
            <w:r w:rsidRPr="00C55F7B">
              <w:rPr>
                <w:b/>
                <w:szCs w:val="22"/>
              </w:rPr>
              <w:t xml:space="preserve"> </w:t>
            </w:r>
            <w:r>
              <w:rPr>
                <w:b/>
                <w:szCs w:val="22"/>
              </w:rPr>
              <w:t xml:space="preserve">  </w:t>
            </w:r>
            <w:r w:rsidRPr="00C55F7B">
              <w:rPr>
                <w:b/>
                <w:szCs w:val="22"/>
              </w:rPr>
              <w:t xml:space="preserve">   </w:t>
            </w:r>
            <w:r w:rsidR="00C6027F" w:rsidRPr="00C55F7B">
              <w:rPr>
                <w:b/>
                <w:szCs w:val="22"/>
              </w:rPr>
              <w:t xml:space="preserve">David </w:t>
            </w:r>
            <w:proofErr w:type="spellStart"/>
            <w:r w:rsidR="00C6027F" w:rsidRPr="00C55F7B">
              <w:rPr>
                <w:b/>
                <w:szCs w:val="22"/>
              </w:rPr>
              <w:t>Ownby</w:t>
            </w:r>
            <w:proofErr w:type="spellEnd"/>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r w:rsidR="00CD13DA" w:rsidRPr="00E06D7F" w:rsidTr="00C6027F">
        <w:trPr>
          <w:trHeight w:val="467"/>
          <w:jc w:val="center"/>
        </w:trPr>
        <w:tc>
          <w:tcPr>
            <w:tcW w:w="3168" w:type="dxa"/>
            <w:vAlign w:val="center"/>
          </w:tcPr>
          <w:p w:rsidR="00CD13DA" w:rsidRPr="00C55F7B" w:rsidRDefault="00C55F7B" w:rsidP="00C55F7B">
            <w:pPr>
              <w:pStyle w:val="BodyText"/>
              <w:rPr>
                <w:b/>
                <w:szCs w:val="22"/>
              </w:rPr>
            </w:pPr>
            <w:r>
              <w:rPr>
                <w:b/>
                <w:sz w:val="20"/>
                <w:szCs w:val="20"/>
              </w:rPr>
              <w:t xml:space="preserve">      </w:t>
            </w:r>
            <w:r w:rsidR="00C6027F" w:rsidRPr="00C55F7B">
              <w:rPr>
                <w:b/>
                <w:szCs w:val="22"/>
              </w:rPr>
              <w:t>Greg Dunn</w:t>
            </w:r>
          </w:p>
        </w:tc>
        <w:tc>
          <w:tcPr>
            <w:tcW w:w="3600" w:type="dxa"/>
            <w:vAlign w:val="center"/>
          </w:tcPr>
          <w:p w:rsidR="00CD13DA" w:rsidRPr="00E06D7F" w:rsidRDefault="00CD13DA" w:rsidP="00381E17">
            <w:pPr>
              <w:pStyle w:val="BodyText"/>
            </w:pPr>
          </w:p>
        </w:tc>
        <w:tc>
          <w:tcPr>
            <w:tcW w:w="2088" w:type="dxa"/>
            <w:vAlign w:val="center"/>
          </w:tcPr>
          <w:p w:rsidR="00CD13DA" w:rsidRPr="00E06D7F" w:rsidRDefault="00CD13DA" w:rsidP="00381E17">
            <w:pPr>
              <w:pStyle w:val="BodyText"/>
            </w:pPr>
          </w:p>
        </w:tc>
      </w:tr>
    </w:tbl>
    <w:p w:rsidR="00CD13DA" w:rsidRPr="00E06D7F" w:rsidRDefault="00CD13DA" w:rsidP="00381E17">
      <w:pPr>
        <w:pStyle w:val="BodyText"/>
      </w:pPr>
    </w:p>
    <w:sectPr w:rsidR="00CD13DA" w:rsidRPr="00E06D7F" w:rsidSect="001F1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6F50A"/>
    <w:lvl w:ilvl="0">
      <w:start w:val="1"/>
      <w:numFmt w:val="decimal"/>
      <w:lvlText w:val="%1."/>
      <w:lvlJc w:val="left"/>
      <w:pPr>
        <w:tabs>
          <w:tab w:val="num" w:pos="1800"/>
        </w:tabs>
        <w:ind w:left="1800" w:hanging="360"/>
      </w:pPr>
    </w:lvl>
  </w:abstractNum>
  <w:abstractNum w:abstractNumId="1">
    <w:nsid w:val="FFFFFF7D"/>
    <w:multiLevelType w:val="singleLevel"/>
    <w:tmpl w:val="D592D46C"/>
    <w:lvl w:ilvl="0">
      <w:start w:val="1"/>
      <w:numFmt w:val="decimal"/>
      <w:lvlText w:val="%1."/>
      <w:lvlJc w:val="left"/>
      <w:pPr>
        <w:tabs>
          <w:tab w:val="num" w:pos="1440"/>
        </w:tabs>
        <w:ind w:left="1440" w:hanging="360"/>
      </w:pPr>
    </w:lvl>
  </w:abstractNum>
  <w:abstractNum w:abstractNumId="2">
    <w:nsid w:val="FFFFFF7E"/>
    <w:multiLevelType w:val="singleLevel"/>
    <w:tmpl w:val="584251CC"/>
    <w:lvl w:ilvl="0">
      <w:start w:val="1"/>
      <w:numFmt w:val="decimal"/>
      <w:lvlText w:val="%1."/>
      <w:lvlJc w:val="left"/>
      <w:pPr>
        <w:tabs>
          <w:tab w:val="num" w:pos="1080"/>
        </w:tabs>
        <w:ind w:left="1080" w:hanging="360"/>
      </w:pPr>
    </w:lvl>
  </w:abstractNum>
  <w:abstractNum w:abstractNumId="3">
    <w:nsid w:val="FFFFFF7F"/>
    <w:multiLevelType w:val="singleLevel"/>
    <w:tmpl w:val="4E76581A"/>
    <w:lvl w:ilvl="0">
      <w:start w:val="1"/>
      <w:numFmt w:val="decimal"/>
      <w:lvlText w:val="%1."/>
      <w:lvlJc w:val="left"/>
      <w:pPr>
        <w:tabs>
          <w:tab w:val="num" w:pos="720"/>
        </w:tabs>
        <w:ind w:left="720" w:hanging="360"/>
      </w:pPr>
    </w:lvl>
  </w:abstractNum>
  <w:abstractNum w:abstractNumId="4">
    <w:nsid w:val="FFFFFF80"/>
    <w:multiLevelType w:val="singleLevel"/>
    <w:tmpl w:val="74A8B6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8840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9A24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8C3E08"/>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501A7B04"/>
    <w:lvl w:ilvl="0">
      <w:start w:val="1"/>
      <w:numFmt w:val="decimal"/>
      <w:lvlText w:val="%1."/>
      <w:lvlJc w:val="left"/>
      <w:pPr>
        <w:tabs>
          <w:tab w:val="num" w:pos="360"/>
        </w:tabs>
        <w:ind w:left="360" w:hanging="360"/>
      </w:pPr>
    </w:lvl>
  </w:abstractNum>
  <w:abstractNum w:abstractNumId="9">
    <w:nsid w:val="FFFFFF89"/>
    <w:multiLevelType w:val="singleLevel"/>
    <w:tmpl w:val="7226AB22"/>
    <w:lvl w:ilvl="0">
      <w:start w:val="1"/>
      <w:numFmt w:val="bullet"/>
      <w:lvlText w:val=""/>
      <w:lvlJc w:val="left"/>
      <w:pPr>
        <w:tabs>
          <w:tab w:val="num" w:pos="360"/>
        </w:tabs>
        <w:ind w:left="360" w:hanging="360"/>
      </w:pPr>
      <w:rPr>
        <w:rFonts w:ascii="Symbol" w:hAnsi="Symbol" w:hint="default"/>
      </w:rPr>
    </w:lvl>
  </w:abstractNum>
  <w:abstractNum w:abstractNumId="10">
    <w:nsid w:val="0139266F"/>
    <w:multiLevelType w:val="multilevel"/>
    <w:tmpl w:val="ED18318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95E615E"/>
    <w:multiLevelType w:val="multilevel"/>
    <w:tmpl w:val="3F52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83CA7"/>
    <w:multiLevelType w:val="multilevel"/>
    <w:tmpl w:val="4152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AF7645"/>
    <w:multiLevelType w:val="multilevel"/>
    <w:tmpl w:val="006C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814844"/>
    <w:multiLevelType w:val="hybridMultilevel"/>
    <w:tmpl w:val="4EF20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AE11F0"/>
    <w:multiLevelType w:val="multilevel"/>
    <w:tmpl w:val="BCC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21915"/>
    <w:multiLevelType w:val="hybridMultilevel"/>
    <w:tmpl w:val="ED183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B37C3"/>
    <w:multiLevelType w:val="multilevel"/>
    <w:tmpl w:val="C15C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257D3C"/>
    <w:multiLevelType w:val="multilevel"/>
    <w:tmpl w:val="84E0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17"/>
  </w:num>
  <w:num w:numId="4">
    <w:abstractNumId w:val="13"/>
  </w:num>
  <w:num w:numId="5">
    <w:abstractNumId w:val="16"/>
  </w:num>
  <w:num w:numId="6">
    <w:abstractNumId w:val="11"/>
  </w:num>
  <w:num w:numId="7">
    <w:abstractNumId w:val="15"/>
  </w:num>
  <w:num w:numId="8">
    <w:abstractNumId w:val="10"/>
  </w:num>
  <w:num w:numId="9">
    <w:abstractNumId w:val="14"/>
  </w:num>
  <w:num w:numId="10">
    <w:abstractNumId w:val="7"/>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23"/>
    <w:rsid w:val="00015BEF"/>
    <w:rsid w:val="00051F04"/>
    <w:rsid w:val="00112082"/>
    <w:rsid w:val="00170CD5"/>
    <w:rsid w:val="00184FF6"/>
    <w:rsid w:val="001A65B7"/>
    <w:rsid w:val="001D068D"/>
    <w:rsid w:val="001F16C9"/>
    <w:rsid w:val="00381E17"/>
    <w:rsid w:val="003946E2"/>
    <w:rsid w:val="003A23B9"/>
    <w:rsid w:val="003C38C3"/>
    <w:rsid w:val="00437516"/>
    <w:rsid w:val="0043757C"/>
    <w:rsid w:val="00440041"/>
    <w:rsid w:val="00492F5F"/>
    <w:rsid w:val="004C7E8A"/>
    <w:rsid w:val="004E5DC3"/>
    <w:rsid w:val="00506A66"/>
    <w:rsid w:val="005C69F9"/>
    <w:rsid w:val="005F1BF7"/>
    <w:rsid w:val="00621858"/>
    <w:rsid w:val="00647A23"/>
    <w:rsid w:val="006865D1"/>
    <w:rsid w:val="006D148D"/>
    <w:rsid w:val="006F4A10"/>
    <w:rsid w:val="0071067D"/>
    <w:rsid w:val="007301F3"/>
    <w:rsid w:val="007D6F32"/>
    <w:rsid w:val="00801DE3"/>
    <w:rsid w:val="0089484E"/>
    <w:rsid w:val="008A18C3"/>
    <w:rsid w:val="008B26DF"/>
    <w:rsid w:val="00954ED9"/>
    <w:rsid w:val="00960385"/>
    <w:rsid w:val="00982E35"/>
    <w:rsid w:val="00A3476C"/>
    <w:rsid w:val="00A61323"/>
    <w:rsid w:val="00A90DF9"/>
    <w:rsid w:val="00A919C9"/>
    <w:rsid w:val="00AD296D"/>
    <w:rsid w:val="00AD2D4E"/>
    <w:rsid w:val="00B508B9"/>
    <w:rsid w:val="00B528F0"/>
    <w:rsid w:val="00B67EEB"/>
    <w:rsid w:val="00B935DC"/>
    <w:rsid w:val="00C00D96"/>
    <w:rsid w:val="00C02A16"/>
    <w:rsid w:val="00C41060"/>
    <w:rsid w:val="00C55F7B"/>
    <w:rsid w:val="00C6027F"/>
    <w:rsid w:val="00C85BE4"/>
    <w:rsid w:val="00CD13DA"/>
    <w:rsid w:val="00CD3DD1"/>
    <w:rsid w:val="00CF44C6"/>
    <w:rsid w:val="00D017C1"/>
    <w:rsid w:val="00D838E7"/>
    <w:rsid w:val="00DA6DDD"/>
    <w:rsid w:val="00DE68D3"/>
    <w:rsid w:val="00E02F26"/>
    <w:rsid w:val="00E06D7F"/>
    <w:rsid w:val="00E11220"/>
    <w:rsid w:val="00E959A8"/>
    <w:rsid w:val="00E964CB"/>
    <w:rsid w:val="00EA1809"/>
    <w:rsid w:val="00EA7F5E"/>
    <w:rsid w:val="00FA1BDF"/>
    <w:rsid w:val="00FA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7F"/>
    <w:rPr>
      <w:rFonts w:ascii="Arial" w:hAnsi="Arial"/>
      <w:sz w:val="22"/>
      <w:szCs w:val="24"/>
    </w:rPr>
  </w:style>
  <w:style w:type="paragraph" w:styleId="Heading1">
    <w:name w:val="heading 1"/>
    <w:basedOn w:val="Normal"/>
    <w:next w:val="Normal"/>
    <w:qFormat/>
    <w:rsid w:val="00E06D7F"/>
    <w:pPr>
      <w:keepNext/>
      <w:spacing w:before="240" w:after="240"/>
      <w:jc w:val="center"/>
      <w:outlineLvl w:val="0"/>
    </w:pPr>
    <w:rPr>
      <w:rFonts w:cs="Arial"/>
      <w:b/>
      <w:bCs/>
      <w:kern w:val="32"/>
      <w:sz w:val="32"/>
      <w:szCs w:val="32"/>
    </w:rPr>
  </w:style>
  <w:style w:type="paragraph" w:styleId="Heading2">
    <w:name w:val="heading 2"/>
    <w:basedOn w:val="Normal"/>
    <w:next w:val="Normal"/>
    <w:qFormat/>
    <w:rsid w:val="00381E17"/>
    <w:pPr>
      <w:keepNext/>
      <w:spacing w:before="240" w:after="240"/>
      <w:outlineLvl w:val="1"/>
    </w:pPr>
    <w:rPr>
      <w:rFonts w:cs="Arial"/>
      <w:b/>
      <w:bCs/>
      <w:iCs/>
      <w:sz w:val="27"/>
      <w:szCs w:val="28"/>
    </w:rPr>
  </w:style>
  <w:style w:type="paragraph" w:styleId="Heading3">
    <w:name w:val="heading 3"/>
    <w:basedOn w:val="Normal"/>
    <w:next w:val="Normal"/>
    <w:qFormat/>
    <w:rsid w:val="00E06D7F"/>
    <w:pPr>
      <w:keepNext/>
      <w:jc w:val="center"/>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85BE4"/>
    <w:rPr>
      <w:color w:val="0000FF"/>
      <w:u w:val="single"/>
    </w:rPr>
  </w:style>
  <w:style w:type="paragraph" w:styleId="NormalWeb">
    <w:name w:val="Normal (Web)"/>
    <w:basedOn w:val="Normal"/>
    <w:rsid w:val="00C85BE4"/>
    <w:pPr>
      <w:spacing w:before="100" w:beforeAutospacing="1" w:after="100" w:afterAutospacing="1"/>
    </w:pPr>
    <w:rPr>
      <w:color w:val="000000"/>
    </w:rPr>
  </w:style>
  <w:style w:type="table" w:styleId="TableGrid">
    <w:name w:val="Table Grid"/>
    <w:basedOn w:val="TableNormal"/>
    <w:rsid w:val="00CD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A6DDD"/>
    <w:rPr>
      <w:sz w:val="16"/>
      <w:szCs w:val="16"/>
    </w:rPr>
  </w:style>
  <w:style w:type="paragraph" w:styleId="CommentText">
    <w:name w:val="annotation text"/>
    <w:basedOn w:val="Normal"/>
    <w:semiHidden/>
    <w:rsid w:val="00DA6DDD"/>
    <w:rPr>
      <w:sz w:val="20"/>
      <w:szCs w:val="20"/>
    </w:rPr>
  </w:style>
  <w:style w:type="paragraph" w:styleId="CommentSubject">
    <w:name w:val="annotation subject"/>
    <w:basedOn w:val="CommentText"/>
    <w:next w:val="CommentText"/>
    <w:semiHidden/>
    <w:rsid w:val="00DA6DDD"/>
    <w:rPr>
      <w:b/>
      <w:bCs/>
    </w:rPr>
  </w:style>
  <w:style w:type="paragraph" w:styleId="BalloonText">
    <w:name w:val="Balloon Text"/>
    <w:basedOn w:val="Normal"/>
    <w:semiHidden/>
    <w:rsid w:val="00DA6DDD"/>
    <w:rPr>
      <w:rFonts w:ascii="Tahoma" w:hAnsi="Tahoma" w:cs="Tahoma"/>
      <w:sz w:val="16"/>
      <w:szCs w:val="16"/>
    </w:rPr>
  </w:style>
  <w:style w:type="paragraph" w:styleId="BodyText">
    <w:name w:val="Body Text"/>
    <w:basedOn w:val="Normal"/>
    <w:rsid w:val="00381E17"/>
    <w:pPr>
      <w:spacing w:before="240" w:after="240"/>
    </w:pPr>
  </w:style>
  <w:style w:type="paragraph" w:styleId="ListBullet2">
    <w:name w:val="List Bullet 2"/>
    <w:basedOn w:val="Normal"/>
    <w:autoRedefine/>
    <w:rsid w:val="00D838E7"/>
    <w:pPr>
      <w:numPr>
        <w:numId w:val="11"/>
      </w:numPr>
      <w:tabs>
        <w:tab w:val="num" w:leader="none" w:pos="720"/>
        <w:tab w:val="num" w:pos="1800"/>
      </w:tabs>
    </w:pPr>
  </w:style>
  <w:style w:type="character" w:styleId="Emphasis">
    <w:name w:val="Emphasis"/>
    <w:basedOn w:val="DefaultParagraphFont"/>
    <w:qFormat/>
    <w:rsid w:val="00381E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7F"/>
    <w:rPr>
      <w:rFonts w:ascii="Arial" w:hAnsi="Arial"/>
      <w:sz w:val="22"/>
      <w:szCs w:val="24"/>
    </w:rPr>
  </w:style>
  <w:style w:type="paragraph" w:styleId="Heading1">
    <w:name w:val="heading 1"/>
    <w:basedOn w:val="Normal"/>
    <w:next w:val="Normal"/>
    <w:qFormat/>
    <w:rsid w:val="00E06D7F"/>
    <w:pPr>
      <w:keepNext/>
      <w:spacing w:before="240" w:after="240"/>
      <w:jc w:val="center"/>
      <w:outlineLvl w:val="0"/>
    </w:pPr>
    <w:rPr>
      <w:rFonts w:cs="Arial"/>
      <w:b/>
      <w:bCs/>
      <w:kern w:val="32"/>
      <w:sz w:val="32"/>
      <w:szCs w:val="32"/>
    </w:rPr>
  </w:style>
  <w:style w:type="paragraph" w:styleId="Heading2">
    <w:name w:val="heading 2"/>
    <w:basedOn w:val="Normal"/>
    <w:next w:val="Normal"/>
    <w:qFormat/>
    <w:rsid w:val="00381E17"/>
    <w:pPr>
      <w:keepNext/>
      <w:spacing w:before="240" w:after="240"/>
      <w:outlineLvl w:val="1"/>
    </w:pPr>
    <w:rPr>
      <w:rFonts w:cs="Arial"/>
      <w:b/>
      <w:bCs/>
      <w:iCs/>
      <w:sz w:val="27"/>
      <w:szCs w:val="28"/>
    </w:rPr>
  </w:style>
  <w:style w:type="paragraph" w:styleId="Heading3">
    <w:name w:val="heading 3"/>
    <w:basedOn w:val="Normal"/>
    <w:next w:val="Normal"/>
    <w:qFormat/>
    <w:rsid w:val="00E06D7F"/>
    <w:pPr>
      <w:keepNext/>
      <w:jc w:val="center"/>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85BE4"/>
    <w:rPr>
      <w:color w:val="0000FF"/>
      <w:u w:val="single"/>
    </w:rPr>
  </w:style>
  <w:style w:type="paragraph" w:styleId="NormalWeb">
    <w:name w:val="Normal (Web)"/>
    <w:basedOn w:val="Normal"/>
    <w:rsid w:val="00C85BE4"/>
    <w:pPr>
      <w:spacing w:before="100" w:beforeAutospacing="1" w:after="100" w:afterAutospacing="1"/>
    </w:pPr>
    <w:rPr>
      <w:color w:val="000000"/>
    </w:rPr>
  </w:style>
  <w:style w:type="table" w:styleId="TableGrid">
    <w:name w:val="Table Grid"/>
    <w:basedOn w:val="TableNormal"/>
    <w:rsid w:val="00CD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A6DDD"/>
    <w:rPr>
      <w:sz w:val="16"/>
      <w:szCs w:val="16"/>
    </w:rPr>
  </w:style>
  <w:style w:type="paragraph" w:styleId="CommentText">
    <w:name w:val="annotation text"/>
    <w:basedOn w:val="Normal"/>
    <w:semiHidden/>
    <w:rsid w:val="00DA6DDD"/>
    <w:rPr>
      <w:sz w:val="20"/>
      <w:szCs w:val="20"/>
    </w:rPr>
  </w:style>
  <w:style w:type="paragraph" w:styleId="CommentSubject">
    <w:name w:val="annotation subject"/>
    <w:basedOn w:val="CommentText"/>
    <w:next w:val="CommentText"/>
    <w:semiHidden/>
    <w:rsid w:val="00DA6DDD"/>
    <w:rPr>
      <w:b/>
      <w:bCs/>
    </w:rPr>
  </w:style>
  <w:style w:type="paragraph" w:styleId="BalloonText">
    <w:name w:val="Balloon Text"/>
    <w:basedOn w:val="Normal"/>
    <w:semiHidden/>
    <w:rsid w:val="00DA6DDD"/>
    <w:rPr>
      <w:rFonts w:ascii="Tahoma" w:hAnsi="Tahoma" w:cs="Tahoma"/>
      <w:sz w:val="16"/>
      <w:szCs w:val="16"/>
    </w:rPr>
  </w:style>
  <w:style w:type="paragraph" w:styleId="BodyText">
    <w:name w:val="Body Text"/>
    <w:basedOn w:val="Normal"/>
    <w:rsid w:val="00381E17"/>
    <w:pPr>
      <w:spacing w:before="240" w:after="240"/>
    </w:pPr>
  </w:style>
  <w:style w:type="paragraph" w:styleId="ListBullet2">
    <w:name w:val="List Bullet 2"/>
    <w:basedOn w:val="Normal"/>
    <w:autoRedefine/>
    <w:rsid w:val="00D838E7"/>
    <w:pPr>
      <w:numPr>
        <w:numId w:val="11"/>
      </w:numPr>
      <w:tabs>
        <w:tab w:val="num" w:leader="none" w:pos="720"/>
        <w:tab w:val="num" w:pos="1800"/>
      </w:tabs>
    </w:pPr>
  </w:style>
  <w:style w:type="character" w:styleId="Emphasis">
    <w:name w:val="Emphasis"/>
    <w:basedOn w:val="DefaultParagraphFont"/>
    <w:qFormat/>
    <w:rsid w:val="00381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5202">
      <w:bodyDiv w:val="1"/>
      <w:marLeft w:val="0"/>
      <w:marRight w:val="0"/>
      <w:marTop w:val="0"/>
      <w:marBottom w:val="0"/>
      <w:divBdr>
        <w:top w:val="none" w:sz="0" w:space="0" w:color="auto"/>
        <w:left w:val="none" w:sz="0" w:space="0" w:color="auto"/>
        <w:bottom w:val="none" w:sz="0" w:space="0" w:color="auto"/>
        <w:right w:val="none" w:sz="0" w:space="0" w:color="auto"/>
      </w:divBdr>
    </w:div>
    <w:div w:id="1406027735">
      <w:bodyDiv w:val="1"/>
      <w:marLeft w:val="0"/>
      <w:marRight w:val="0"/>
      <w:marTop w:val="0"/>
      <w:marBottom w:val="0"/>
      <w:divBdr>
        <w:top w:val="none" w:sz="0" w:space="0" w:color="auto"/>
        <w:left w:val="none" w:sz="0" w:space="0" w:color="auto"/>
        <w:bottom w:val="none" w:sz="0" w:space="0" w:color="auto"/>
        <w:right w:val="none" w:sz="0" w:space="0" w:color="auto"/>
      </w:divBdr>
    </w:div>
    <w:div w:id="1549419153">
      <w:bodyDiv w:val="1"/>
      <w:marLeft w:val="0"/>
      <w:marRight w:val="0"/>
      <w:marTop w:val="0"/>
      <w:marBottom w:val="0"/>
      <w:divBdr>
        <w:top w:val="none" w:sz="0" w:space="0" w:color="auto"/>
        <w:left w:val="none" w:sz="0" w:space="0" w:color="auto"/>
        <w:bottom w:val="none" w:sz="0" w:space="0" w:color="auto"/>
        <w:right w:val="none" w:sz="0" w:space="0" w:color="auto"/>
      </w:divBdr>
    </w:div>
    <w:div w:id="19725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aka\AppData\Roaming\Microsoft\Templates\Investment%20club%20byla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Investment club bylaws</Template>
  <TotalTime>55</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Akash Babu</dc:creator>
  <cp:lastModifiedBy>RJ Akash Babu</cp:lastModifiedBy>
  <cp:revision>1</cp:revision>
  <cp:lastPrinted>2002-03-06T05:24:00Z</cp:lastPrinted>
  <dcterms:created xsi:type="dcterms:W3CDTF">2019-07-30T16:19:00Z</dcterms:created>
  <dcterms:modified xsi:type="dcterms:W3CDTF">2019-07-30T17:14:00Z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TC060909751033</vt:lpwstr>
  </property>
</Properties>
</file>